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BB" w:rsidRDefault="001F127F" w:rsidP="004558BA">
      <w:pPr>
        <w:pStyle w:val="Header"/>
      </w:pPr>
      <w:r>
        <w:rPr>
          <w:b/>
          <w:bCs/>
          <w:lang w:val="en-US"/>
        </w:rPr>
        <w:t xml:space="preserve">Rights, Risks and Responsibilities: </w:t>
      </w:r>
      <w:r w:rsidR="003F7B1B">
        <w:rPr>
          <w:b/>
          <w:bCs/>
          <w:lang w:val="en-US"/>
        </w:rPr>
        <w:t xml:space="preserve">Implications of </w:t>
      </w:r>
      <w:proofErr w:type="spellStart"/>
      <w:r w:rsidR="003F7B1B">
        <w:rPr>
          <w:b/>
          <w:bCs/>
          <w:lang w:val="en-US"/>
        </w:rPr>
        <w:t>Brexit</w:t>
      </w:r>
      <w:proofErr w:type="spellEnd"/>
      <w:r w:rsidR="003F7B1B">
        <w:rPr>
          <w:b/>
          <w:bCs/>
          <w:lang w:val="en-US"/>
        </w:rPr>
        <w:t xml:space="preserve"> for Equality law in the Scottish context </w:t>
      </w:r>
    </w:p>
    <w:p w:rsidR="00FB78BB" w:rsidRDefault="00FB78BB" w:rsidP="004558BA">
      <w:pPr>
        <w:pStyle w:val="Header"/>
      </w:pPr>
    </w:p>
    <w:p w:rsidR="001F127F" w:rsidRPr="001F127F" w:rsidRDefault="001F127F" w:rsidP="00140C8F">
      <w:pPr>
        <w:jc w:val="both"/>
        <w:rPr>
          <w:rFonts w:cstheme="minorHAnsi"/>
          <w:b/>
        </w:rPr>
      </w:pPr>
      <w:r w:rsidRPr="001F127F">
        <w:rPr>
          <w:rFonts w:cstheme="minorHAnsi"/>
          <w:b/>
        </w:rPr>
        <w:t>Rights</w:t>
      </w:r>
      <w:r w:rsidR="00E70C10">
        <w:rPr>
          <w:rFonts w:cstheme="minorHAnsi"/>
          <w:b/>
        </w:rPr>
        <w:t>: Equality rights derived from EU law</w:t>
      </w:r>
    </w:p>
    <w:p w:rsidR="00485F25" w:rsidRDefault="00485F25" w:rsidP="00140C8F">
      <w:pPr>
        <w:jc w:val="both"/>
        <w:rPr>
          <w:rFonts w:cstheme="minorHAnsi"/>
        </w:rPr>
      </w:pPr>
      <w:r>
        <w:rPr>
          <w:rFonts w:cstheme="minorHAnsi"/>
        </w:rPr>
        <w:t>Equality is one of the fundamental principles underpinning European law</w:t>
      </w:r>
      <w:r>
        <w:rPr>
          <w:rStyle w:val="FootnoteReference"/>
          <w:rFonts w:cstheme="minorHAnsi"/>
        </w:rPr>
        <w:footnoteReference w:id="1"/>
      </w:r>
      <w:r>
        <w:rPr>
          <w:rFonts w:cstheme="minorHAnsi"/>
        </w:rPr>
        <w:t xml:space="preserve">. </w:t>
      </w:r>
      <w:r w:rsidR="00E53938" w:rsidRPr="00BA776B">
        <w:rPr>
          <w:rFonts w:cstheme="minorHAnsi"/>
        </w:rPr>
        <w:t xml:space="preserve">The </w:t>
      </w:r>
      <w:r w:rsidR="008653BC" w:rsidRPr="00BA776B">
        <w:rPr>
          <w:rFonts w:cstheme="minorHAnsi"/>
        </w:rPr>
        <w:t>founding tre</w:t>
      </w:r>
      <w:r w:rsidR="00063C02">
        <w:rPr>
          <w:rFonts w:cstheme="minorHAnsi"/>
        </w:rPr>
        <w:t xml:space="preserve">aties </w:t>
      </w:r>
      <w:r w:rsidR="00930ECC">
        <w:rPr>
          <w:rFonts w:cstheme="minorHAnsi"/>
        </w:rPr>
        <w:t>of the European Union contain</w:t>
      </w:r>
      <w:r w:rsidR="00063C02">
        <w:rPr>
          <w:rFonts w:cstheme="minorHAnsi"/>
        </w:rPr>
        <w:t xml:space="preserve"> </w:t>
      </w:r>
      <w:r w:rsidR="008653BC" w:rsidRPr="00BA776B">
        <w:rPr>
          <w:rFonts w:cstheme="minorHAnsi"/>
        </w:rPr>
        <w:t>equality guarantees, which are now to be found in the amended and consolidated Treaty on European Union (TEU)</w:t>
      </w:r>
      <w:r w:rsidR="00BA776B">
        <w:rPr>
          <w:rFonts w:cstheme="minorHAnsi"/>
        </w:rPr>
        <w:t>, which se</w:t>
      </w:r>
      <w:r w:rsidR="00BA776B" w:rsidRPr="00BA776B">
        <w:rPr>
          <w:rFonts w:cstheme="minorHAnsi"/>
        </w:rPr>
        <w:t>ts out the aims/objectives of the EU</w:t>
      </w:r>
      <w:r w:rsidR="00BA776B">
        <w:rPr>
          <w:rFonts w:cstheme="minorHAnsi"/>
        </w:rPr>
        <w:t>,</w:t>
      </w:r>
      <w:r w:rsidR="00063C02">
        <w:rPr>
          <w:rFonts w:cstheme="minorHAnsi"/>
        </w:rPr>
        <w:t xml:space="preserve"> </w:t>
      </w:r>
      <w:r w:rsidR="00930ECC">
        <w:rPr>
          <w:rFonts w:cstheme="minorHAnsi"/>
        </w:rPr>
        <w:t>which is “</w:t>
      </w:r>
      <w:r w:rsidR="00BA776B" w:rsidRPr="00BA776B">
        <w:rPr>
          <w:rFonts w:cstheme="minorHAnsi"/>
        </w:rPr>
        <w:t>founded on the values of respect for human dignity, freedom, democracy, equality, the rule of law and respect for human rights......</w:t>
      </w:r>
      <w:r>
        <w:rPr>
          <w:rFonts w:cstheme="minorHAnsi"/>
        </w:rPr>
        <w:t>[which]</w:t>
      </w:r>
      <w:r w:rsidR="00930ECC">
        <w:rPr>
          <w:rFonts w:cstheme="minorHAnsi"/>
        </w:rPr>
        <w:t xml:space="preserve"> are common to the member states</w:t>
      </w:r>
      <w:r w:rsidR="00BA776B" w:rsidRPr="00BA776B">
        <w:rPr>
          <w:rFonts w:cstheme="minorHAnsi"/>
        </w:rPr>
        <w:t xml:space="preserve"> in a society in which pluralism,non-discrimination, tolerance, justice, solidarity and equality between women and men prevail”</w:t>
      </w:r>
      <w:r>
        <w:rPr>
          <w:rStyle w:val="FootnoteReference"/>
          <w:rFonts w:cstheme="minorHAnsi"/>
        </w:rPr>
        <w:footnoteReference w:id="2"/>
      </w:r>
      <w:r>
        <w:rPr>
          <w:rFonts w:cstheme="minorHAnsi"/>
        </w:rPr>
        <w:t>.</w:t>
      </w:r>
      <w:r w:rsidR="00063C02">
        <w:rPr>
          <w:rFonts w:cstheme="minorHAnsi"/>
        </w:rPr>
        <w:t xml:space="preserve"> </w:t>
      </w:r>
    </w:p>
    <w:p w:rsidR="00BA776B" w:rsidRDefault="00BA776B" w:rsidP="00140C8F">
      <w:pPr>
        <w:jc w:val="both"/>
        <w:rPr>
          <w:rFonts w:cstheme="minorHAnsi"/>
        </w:rPr>
      </w:pPr>
      <w:r>
        <w:rPr>
          <w:rFonts w:cstheme="minorHAnsi"/>
        </w:rPr>
        <w:t xml:space="preserve">The consolidated </w:t>
      </w:r>
      <w:r w:rsidRPr="00BA776B">
        <w:rPr>
          <w:rFonts w:cstheme="minorHAnsi"/>
        </w:rPr>
        <w:t>Treaty on the Functioning of the European Union (TFEU)</w:t>
      </w:r>
      <w:r>
        <w:rPr>
          <w:rFonts w:cstheme="minorHAnsi"/>
        </w:rPr>
        <w:t xml:space="preserve"> contains a number of Articles relevant to equality and non-discrimination, in particular </w:t>
      </w:r>
      <w:r w:rsidRPr="008653BC">
        <w:rPr>
          <w:rFonts w:cstheme="minorHAnsi"/>
        </w:rPr>
        <w:t>Article 18 (nationality)</w:t>
      </w:r>
      <w:r>
        <w:rPr>
          <w:rFonts w:cstheme="minorHAnsi"/>
        </w:rPr>
        <w:t xml:space="preserve">; </w:t>
      </w:r>
      <w:r w:rsidRPr="008653BC">
        <w:rPr>
          <w:rFonts w:cstheme="minorHAnsi"/>
        </w:rPr>
        <w:t>Article 1</w:t>
      </w:r>
      <w:r w:rsidR="00063C02">
        <w:rPr>
          <w:rFonts w:cstheme="minorHAnsi"/>
        </w:rPr>
        <w:t>9 (equal treatment</w:t>
      </w:r>
      <w:r w:rsidRPr="008653BC">
        <w:rPr>
          <w:rFonts w:cstheme="minorHAnsi"/>
        </w:rPr>
        <w:t>)</w:t>
      </w:r>
      <w:r>
        <w:rPr>
          <w:rFonts w:cstheme="minorHAnsi"/>
        </w:rPr>
        <w:t xml:space="preserve">; </w:t>
      </w:r>
      <w:r w:rsidRPr="008653BC">
        <w:rPr>
          <w:rFonts w:cstheme="minorHAnsi"/>
        </w:rPr>
        <w:t>Article 45 (free movement of workers)</w:t>
      </w:r>
      <w:r>
        <w:rPr>
          <w:rFonts w:cstheme="minorHAnsi"/>
        </w:rPr>
        <w:t xml:space="preserve"> and </w:t>
      </w:r>
      <w:r w:rsidRPr="008653BC">
        <w:rPr>
          <w:rFonts w:cstheme="minorHAnsi"/>
        </w:rPr>
        <w:t>Article 157 (equal pay)</w:t>
      </w:r>
      <w:r w:rsidR="00063C02">
        <w:rPr>
          <w:rFonts w:cstheme="minorHAnsi"/>
        </w:rPr>
        <w:t>.</w:t>
      </w:r>
    </w:p>
    <w:p w:rsidR="00DC1431" w:rsidRDefault="00BA776B" w:rsidP="00140C8F">
      <w:pPr>
        <w:jc w:val="both"/>
        <w:rPr>
          <w:rFonts w:cstheme="minorHAnsi"/>
        </w:rPr>
      </w:pPr>
      <w:r>
        <w:rPr>
          <w:rFonts w:cstheme="minorHAnsi"/>
        </w:rPr>
        <w:t>One of the most important articles</w:t>
      </w:r>
      <w:r w:rsidR="00063C02">
        <w:rPr>
          <w:rFonts w:cstheme="minorHAnsi"/>
        </w:rPr>
        <w:t xml:space="preserve"> which was included in the founding treaty</w:t>
      </w:r>
      <w:r>
        <w:rPr>
          <w:rFonts w:cstheme="minorHAnsi"/>
        </w:rPr>
        <w:t xml:space="preserve"> is A157 (equal pay) which requires member states to ensure that the principle of equal pay for male and female workers for equal work or work of equal value is applied. The equivalent article in the original founding treaty provided the basis for secondary legislation (directives) addressing discrimination in pay and equality of treatment between women and men in employment and training. </w:t>
      </w:r>
    </w:p>
    <w:p w:rsidR="00DC1431" w:rsidRDefault="00A12859" w:rsidP="00140C8F">
      <w:pPr>
        <w:jc w:val="both"/>
        <w:rPr>
          <w:rFonts w:cstheme="minorHAnsi"/>
        </w:rPr>
      </w:pPr>
      <w:r>
        <w:rPr>
          <w:rFonts w:cstheme="minorHAnsi"/>
        </w:rPr>
        <w:t>The</w:t>
      </w:r>
      <w:r w:rsidR="00DC1431">
        <w:rPr>
          <w:rFonts w:cstheme="minorHAnsi"/>
        </w:rPr>
        <w:t>re are</w:t>
      </w:r>
      <w:r>
        <w:rPr>
          <w:rFonts w:cstheme="minorHAnsi"/>
        </w:rPr>
        <w:t xml:space="preserve"> four major directives on gender equalit</w:t>
      </w:r>
      <w:r w:rsidR="00063C02">
        <w:rPr>
          <w:rFonts w:cstheme="minorHAnsi"/>
        </w:rPr>
        <w:t>y derived from this treaty base,</w:t>
      </w:r>
      <w:r>
        <w:rPr>
          <w:rFonts w:cstheme="minorHAnsi"/>
        </w:rPr>
        <w:t xml:space="preserve"> </w:t>
      </w:r>
      <w:r w:rsidR="00544A1B">
        <w:rPr>
          <w:rFonts w:cstheme="minorHAnsi"/>
        </w:rPr>
        <w:t>all as subsequently amended</w:t>
      </w:r>
      <w:r w:rsidR="00DC1431">
        <w:rPr>
          <w:rFonts w:cstheme="minorHAnsi"/>
        </w:rPr>
        <w:t>:</w:t>
      </w:r>
    </w:p>
    <w:p w:rsidR="00485F25" w:rsidRDefault="00A12859" w:rsidP="00DC1431">
      <w:pPr>
        <w:pStyle w:val="ListParagraph"/>
        <w:numPr>
          <w:ilvl w:val="0"/>
          <w:numId w:val="23"/>
        </w:numPr>
        <w:jc w:val="both"/>
        <w:rPr>
          <w:rFonts w:cstheme="minorHAnsi"/>
        </w:rPr>
      </w:pPr>
      <w:r w:rsidRPr="00485F25">
        <w:rPr>
          <w:rFonts w:cstheme="minorHAnsi"/>
        </w:rPr>
        <w:t>the E</w:t>
      </w:r>
      <w:r w:rsidR="00DC1431" w:rsidRPr="00485F25">
        <w:rPr>
          <w:rFonts w:cstheme="minorHAnsi"/>
        </w:rPr>
        <w:t>qual Pay Directive</w:t>
      </w:r>
      <w:r w:rsidR="00485F25">
        <w:rPr>
          <w:rStyle w:val="FootnoteReference"/>
          <w:rFonts w:cstheme="minorHAnsi"/>
        </w:rPr>
        <w:footnoteReference w:id="3"/>
      </w:r>
      <w:r w:rsidR="00485F25">
        <w:rPr>
          <w:rFonts w:cstheme="minorHAnsi"/>
        </w:rPr>
        <w:t>, requiring equal pay between women and men</w:t>
      </w:r>
    </w:p>
    <w:p w:rsidR="00485F25" w:rsidRDefault="00A12859" w:rsidP="00DC1431">
      <w:pPr>
        <w:pStyle w:val="ListParagraph"/>
        <w:numPr>
          <w:ilvl w:val="0"/>
          <w:numId w:val="23"/>
        </w:numPr>
        <w:jc w:val="both"/>
        <w:rPr>
          <w:rFonts w:cstheme="minorHAnsi"/>
        </w:rPr>
      </w:pPr>
      <w:r w:rsidRPr="00485F25">
        <w:rPr>
          <w:rFonts w:cstheme="minorHAnsi"/>
        </w:rPr>
        <w:t>the Equal Treatment</w:t>
      </w:r>
      <w:r w:rsidR="00DC1431" w:rsidRPr="00485F25">
        <w:rPr>
          <w:rFonts w:cstheme="minorHAnsi"/>
        </w:rPr>
        <w:t xml:space="preserve"> Directive</w:t>
      </w:r>
      <w:r w:rsidR="00485F25">
        <w:rPr>
          <w:rStyle w:val="FootnoteReference"/>
          <w:rFonts w:cstheme="minorHAnsi"/>
        </w:rPr>
        <w:footnoteReference w:id="4"/>
      </w:r>
      <w:r w:rsidR="00485F25">
        <w:rPr>
          <w:rFonts w:cstheme="minorHAnsi"/>
        </w:rPr>
        <w:t>, requiring equal treatment in employment and occupation</w:t>
      </w:r>
    </w:p>
    <w:p w:rsidR="00DC1431" w:rsidRPr="00485F25" w:rsidRDefault="00A12859" w:rsidP="00DC1431">
      <w:pPr>
        <w:pStyle w:val="ListParagraph"/>
        <w:numPr>
          <w:ilvl w:val="0"/>
          <w:numId w:val="23"/>
        </w:numPr>
        <w:jc w:val="both"/>
        <w:rPr>
          <w:rFonts w:cstheme="minorHAnsi"/>
        </w:rPr>
      </w:pPr>
      <w:r w:rsidRPr="00485F25">
        <w:rPr>
          <w:rFonts w:cstheme="minorHAnsi"/>
        </w:rPr>
        <w:t>the Directive on Occupational Social Security Schemes</w:t>
      </w:r>
      <w:r w:rsidR="00485F25">
        <w:rPr>
          <w:rStyle w:val="FootnoteReference"/>
          <w:rFonts w:cstheme="minorHAnsi"/>
        </w:rPr>
        <w:footnoteReference w:id="5"/>
      </w:r>
    </w:p>
    <w:p w:rsidR="00485F25" w:rsidRDefault="00A12859" w:rsidP="00140C8F">
      <w:pPr>
        <w:pStyle w:val="ListParagraph"/>
        <w:numPr>
          <w:ilvl w:val="0"/>
          <w:numId w:val="23"/>
        </w:numPr>
        <w:jc w:val="both"/>
        <w:rPr>
          <w:rFonts w:cstheme="minorHAnsi"/>
        </w:rPr>
      </w:pPr>
      <w:r w:rsidRPr="00485F25">
        <w:rPr>
          <w:rFonts w:cstheme="minorHAnsi"/>
        </w:rPr>
        <w:t>the Burden of Proof Directive</w:t>
      </w:r>
      <w:r w:rsidR="00485F25">
        <w:rPr>
          <w:rStyle w:val="FootnoteReference"/>
          <w:rFonts w:cstheme="minorHAnsi"/>
        </w:rPr>
        <w:footnoteReference w:id="6"/>
      </w:r>
      <w:r w:rsidR="00485F25">
        <w:rPr>
          <w:rFonts w:cstheme="minorHAnsi"/>
        </w:rPr>
        <w:t>, shifting the burden of proof where a suspicion or inference of discrimination is raised.</w:t>
      </w:r>
    </w:p>
    <w:p w:rsidR="00BA776B" w:rsidRPr="00485F25" w:rsidRDefault="00DC1431" w:rsidP="00485F25">
      <w:pPr>
        <w:jc w:val="both"/>
        <w:rPr>
          <w:rFonts w:cstheme="minorHAnsi"/>
        </w:rPr>
      </w:pPr>
      <w:r w:rsidRPr="00485F25">
        <w:rPr>
          <w:rFonts w:cstheme="minorHAnsi"/>
        </w:rPr>
        <w:t>These h</w:t>
      </w:r>
      <w:r w:rsidR="000A4DF0" w:rsidRPr="00485F25">
        <w:rPr>
          <w:rFonts w:cstheme="minorHAnsi"/>
        </w:rPr>
        <w:t>ave been consolidated and updated in the Directive on the implementation of the principle of equal opportunities and equal treatment of men and women in matters of employment and occupation (recast) (2006/54/EC).</w:t>
      </w:r>
      <w:r w:rsidR="00930ECC" w:rsidRPr="00485F25">
        <w:rPr>
          <w:rFonts w:cstheme="minorHAnsi"/>
        </w:rPr>
        <w:t xml:space="preserve"> This </w:t>
      </w:r>
      <w:r w:rsidR="00140C8F" w:rsidRPr="00485F25">
        <w:rPr>
          <w:rFonts w:cstheme="minorHAnsi"/>
        </w:rPr>
        <w:t xml:space="preserve">Recast Gender Directive </w:t>
      </w:r>
      <w:r w:rsidR="00930ECC" w:rsidRPr="00485F25">
        <w:rPr>
          <w:rFonts w:cstheme="minorHAnsi"/>
        </w:rPr>
        <w:t>is</w:t>
      </w:r>
      <w:r w:rsidR="00140C8F" w:rsidRPr="00485F25">
        <w:rPr>
          <w:rFonts w:cstheme="minorHAnsi"/>
        </w:rPr>
        <w:t xml:space="preserve"> now the key directive setting out</w:t>
      </w:r>
      <w:r w:rsidR="00930ECC" w:rsidRPr="00485F25">
        <w:rPr>
          <w:rFonts w:cstheme="minorHAnsi"/>
        </w:rPr>
        <w:t xml:space="preserve"> </w:t>
      </w:r>
      <w:r w:rsidR="00485F25">
        <w:rPr>
          <w:rFonts w:cstheme="minorHAnsi"/>
        </w:rPr>
        <w:t xml:space="preserve">the requirement for equal treatment between women and men </w:t>
      </w:r>
      <w:r w:rsidR="00140C8F" w:rsidRPr="00485F25">
        <w:rPr>
          <w:rFonts w:cstheme="minorHAnsi"/>
        </w:rPr>
        <w:t>in the employment context</w:t>
      </w:r>
      <w:r w:rsidR="00930ECC" w:rsidRPr="00485F25">
        <w:rPr>
          <w:rFonts w:cstheme="minorHAnsi"/>
        </w:rPr>
        <w:t xml:space="preserve">, and </w:t>
      </w:r>
      <w:r w:rsidR="00063C02" w:rsidRPr="00485F25">
        <w:rPr>
          <w:rFonts w:cstheme="minorHAnsi"/>
        </w:rPr>
        <w:t>is now implemented in this country through the Equality Act 2010 (</w:t>
      </w:r>
      <w:r w:rsidR="000A4DF0" w:rsidRPr="00485F25">
        <w:rPr>
          <w:rFonts w:cstheme="minorHAnsi"/>
        </w:rPr>
        <w:t>Parts 2,5,9 and 10</w:t>
      </w:r>
      <w:r w:rsidR="00063C02" w:rsidRPr="00485F25">
        <w:rPr>
          <w:rFonts w:cstheme="minorHAnsi"/>
        </w:rPr>
        <w:t>).</w:t>
      </w:r>
    </w:p>
    <w:p w:rsidR="000A4DF0" w:rsidRDefault="000A4DF0" w:rsidP="00140C8F">
      <w:pPr>
        <w:jc w:val="both"/>
        <w:rPr>
          <w:rFonts w:cstheme="minorHAnsi"/>
        </w:rPr>
      </w:pPr>
      <w:r>
        <w:rPr>
          <w:rFonts w:cstheme="minorHAnsi"/>
        </w:rPr>
        <w:t>Other European Union measures of significan</w:t>
      </w:r>
      <w:r w:rsidR="00930ECC">
        <w:rPr>
          <w:rFonts w:cstheme="minorHAnsi"/>
        </w:rPr>
        <w:t>c</w:t>
      </w:r>
      <w:r>
        <w:rPr>
          <w:rFonts w:cstheme="minorHAnsi"/>
        </w:rPr>
        <w:t>e to gender equality in particular (and which have required amendments to domestic law) have been implemented through other treaty provisions:</w:t>
      </w:r>
    </w:p>
    <w:p w:rsidR="00BA776B" w:rsidRPr="00BA776B" w:rsidRDefault="00BA776B" w:rsidP="00DC1431">
      <w:pPr>
        <w:numPr>
          <w:ilvl w:val="0"/>
          <w:numId w:val="21"/>
        </w:numPr>
        <w:jc w:val="both"/>
        <w:rPr>
          <w:rFonts w:cstheme="minorHAnsi"/>
        </w:rPr>
      </w:pPr>
      <w:r w:rsidRPr="00BA776B">
        <w:rPr>
          <w:rFonts w:cstheme="minorHAnsi"/>
        </w:rPr>
        <w:t>Pregnant Workers Directive</w:t>
      </w:r>
      <w:r w:rsidR="00485F25">
        <w:rPr>
          <w:rStyle w:val="FootnoteReference"/>
          <w:rFonts w:cstheme="minorHAnsi"/>
        </w:rPr>
        <w:footnoteReference w:id="7"/>
      </w:r>
      <w:r w:rsidR="000A4DF0">
        <w:rPr>
          <w:rFonts w:cstheme="minorHAnsi"/>
        </w:rPr>
        <w:t xml:space="preserve"> addressing the treatment of pregnant women at work (including provisions addressing maternity leave, breastfeeding,  time off for ante natal care, risk assess</w:t>
      </w:r>
      <w:r w:rsidR="00485F25">
        <w:rPr>
          <w:rFonts w:cstheme="minorHAnsi"/>
        </w:rPr>
        <w:t>ments and prohibiting dismissal</w:t>
      </w:r>
      <w:r w:rsidR="00485F25">
        <w:rPr>
          <w:rStyle w:val="FootnoteReference"/>
          <w:rFonts w:cstheme="minorHAnsi"/>
        </w:rPr>
        <w:footnoteReference w:id="8"/>
      </w:r>
      <w:r w:rsidR="00544A1B">
        <w:rPr>
          <w:rFonts w:cstheme="minorHAnsi"/>
        </w:rPr>
        <w:t>)</w:t>
      </w:r>
      <w:r w:rsidR="00485F25">
        <w:rPr>
          <w:rFonts w:cstheme="minorHAnsi"/>
        </w:rPr>
        <w:t xml:space="preserve">. </w:t>
      </w:r>
      <w:r w:rsidR="000A4DF0">
        <w:rPr>
          <w:rFonts w:cstheme="minorHAnsi"/>
        </w:rPr>
        <w:t xml:space="preserve">This interplays however with the Recast </w:t>
      </w:r>
      <w:r w:rsidR="000A4DF0">
        <w:rPr>
          <w:rFonts w:cstheme="minorHAnsi"/>
        </w:rPr>
        <w:lastRenderedPageBreak/>
        <w:t xml:space="preserve">Directive, which makes specific reference to it. </w:t>
      </w:r>
      <w:r w:rsidR="00930ECC">
        <w:rPr>
          <w:rFonts w:cstheme="minorHAnsi"/>
        </w:rPr>
        <w:t>It is implemented largely through the Employment Rights Act, the Health and Safety at Work Act, and related regulations</w:t>
      </w:r>
      <w:r w:rsidR="00485F25">
        <w:rPr>
          <w:rFonts w:cstheme="minorHAnsi"/>
        </w:rPr>
        <w:t xml:space="preserve"> in particular the Maternity and Parental Leave etc Regulations 1999 (MAPLE)</w:t>
      </w:r>
      <w:r w:rsidR="00C82883">
        <w:rPr>
          <w:rFonts w:cstheme="minorHAnsi"/>
        </w:rPr>
        <w:t xml:space="preserve">, </w:t>
      </w:r>
      <w:r w:rsidR="00930ECC">
        <w:rPr>
          <w:rFonts w:cstheme="minorHAnsi"/>
        </w:rPr>
        <w:t>as well as the Equality Act 2010</w:t>
      </w:r>
    </w:p>
    <w:p w:rsidR="00BA776B" w:rsidRDefault="00BA776B" w:rsidP="00DC1431">
      <w:pPr>
        <w:numPr>
          <w:ilvl w:val="0"/>
          <w:numId w:val="21"/>
        </w:numPr>
        <w:jc w:val="both"/>
        <w:rPr>
          <w:rFonts w:cstheme="minorHAnsi"/>
        </w:rPr>
      </w:pPr>
      <w:r w:rsidRPr="00BA776B">
        <w:rPr>
          <w:rFonts w:cstheme="minorHAnsi"/>
        </w:rPr>
        <w:t>Parental Leave Directive</w:t>
      </w:r>
      <w:r w:rsidR="00C82883">
        <w:rPr>
          <w:rStyle w:val="FootnoteReference"/>
          <w:rFonts w:cstheme="minorHAnsi"/>
        </w:rPr>
        <w:footnoteReference w:id="9"/>
      </w:r>
      <w:r w:rsidR="00C82883">
        <w:rPr>
          <w:rFonts w:cstheme="minorHAnsi"/>
        </w:rPr>
        <w:t xml:space="preserve"> </w:t>
      </w:r>
      <w:r w:rsidR="000A4DF0">
        <w:rPr>
          <w:rFonts w:cstheme="minorHAnsi"/>
        </w:rPr>
        <w:t>requiring provision for parental leave on birth or adoption, and for time off for family emergencies</w:t>
      </w:r>
      <w:r w:rsidR="00930ECC">
        <w:rPr>
          <w:rFonts w:cstheme="minorHAnsi"/>
        </w:rPr>
        <w:t xml:space="preserve">. This is implemented through the </w:t>
      </w:r>
      <w:r w:rsidR="00544A1B">
        <w:rPr>
          <w:rFonts w:cstheme="minorHAnsi"/>
        </w:rPr>
        <w:t>Employment Rights Act and MAPLE</w:t>
      </w:r>
    </w:p>
    <w:p w:rsidR="00BA776B" w:rsidRPr="00BA776B" w:rsidRDefault="00BA776B" w:rsidP="00DC1431">
      <w:pPr>
        <w:numPr>
          <w:ilvl w:val="0"/>
          <w:numId w:val="21"/>
        </w:numPr>
        <w:jc w:val="both"/>
        <w:rPr>
          <w:rFonts w:cstheme="minorHAnsi"/>
        </w:rPr>
      </w:pPr>
      <w:r w:rsidRPr="00BA776B">
        <w:rPr>
          <w:rFonts w:cstheme="minorHAnsi"/>
        </w:rPr>
        <w:t>Part-time Workers Directive</w:t>
      </w:r>
      <w:r w:rsidR="00C82883">
        <w:rPr>
          <w:rStyle w:val="FootnoteReference"/>
          <w:rFonts w:cstheme="minorHAnsi"/>
        </w:rPr>
        <w:footnoteReference w:id="10"/>
      </w:r>
      <w:r w:rsidRPr="00BA776B">
        <w:rPr>
          <w:rFonts w:cstheme="minorHAnsi"/>
        </w:rPr>
        <w:t xml:space="preserve"> </w:t>
      </w:r>
      <w:r w:rsidR="00C82883">
        <w:rPr>
          <w:rFonts w:cstheme="minorHAnsi"/>
        </w:rPr>
        <w:t xml:space="preserve">requiring pro rata treatment of part-time workers </w:t>
      </w:r>
      <w:r w:rsidR="00930ECC">
        <w:rPr>
          <w:rFonts w:cstheme="minorHAnsi"/>
        </w:rPr>
        <w:t>(implemented through</w:t>
      </w:r>
      <w:r w:rsidR="00140C8F">
        <w:rPr>
          <w:rFonts w:cstheme="minorHAnsi"/>
        </w:rPr>
        <w:t xml:space="preserve"> the Part-time Workers (Prevention of Less Favourable Treatment) Regulations 2000)</w:t>
      </w:r>
    </w:p>
    <w:p w:rsidR="00BA776B" w:rsidRDefault="00BA776B" w:rsidP="00DC1431">
      <w:pPr>
        <w:numPr>
          <w:ilvl w:val="0"/>
          <w:numId w:val="21"/>
        </w:numPr>
        <w:jc w:val="both"/>
        <w:rPr>
          <w:rFonts w:cstheme="minorHAnsi"/>
        </w:rPr>
      </w:pPr>
      <w:r w:rsidRPr="00BA776B">
        <w:rPr>
          <w:rFonts w:cstheme="minorHAnsi"/>
        </w:rPr>
        <w:t>Fixed-Term Workers Directive</w:t>
      </w:r>
      <w:r w:rsidR="00C82883">
        <w:rPr>
          <w:rStyle w:val="FootnoteReference"/>
          <w:rFonts w:cstheme="minorHAnsi"/>
        </w:rPr>
        <w:footnoteReference w:id="11"/>
      </w:r>
      <w:r w:rsidR="00FF7347">
        <w:rPr>
          <w:rFonts w:cstheme="minorHAnsi"/>
        </w:rPr>
        <w:t xml:space="preserve"> </w:t>
      </w:r>
      <w:r w:rsidR="00C82883">
        <w:rPr>
          <w:rFonts w:cstheme="minorHAnsi"/>
        </w:rPr>
        <w:t xml:space="preserve">limiting the scope of fixed term contracts </w:t>
      </w:r>
      <w:r w:rsidR="00930ECC">
        <w:rPr>
          <w:rFonts w:cstheme="minorHAnsi"/>
        </w:rPr>
        <w:t>(implemented through</w:t>
      </w:r>
      <w:r w:rsidR="00140C8F">
        <w:rPr>
          <w:rFonts w:cstheme="minorHAnsi"/>
        </w:rPr>
        <w:t xml:space="preserve"> Fixed-Term Employees (Prevention of Less Favour</w:t>
      </w:r>
      <w:r w:rsidR="00FB78BB">
        <w:rPr>
          <w:rFonts w:cstheme="minorHAnsi"/>
        </w:rPr>
        <w:t>able Treatment) Regulations 2002</w:t>
      </w:r>
      <w:r w:rsidR="00140C8F">
        <w:rPr>
          <w:rFonts w:cstheme="minorHAnsi"/>
        </w:rPr>
        <w:t>)</w:t>
      </w:r>
    </w:p>
    <w:p w:rsidR="006102E8" w:rsidRDefault="006102E8" w:rsidP="00DC1431">
      <w:pPr>
        <w:numPr>
          <w:ilvl w:val="0"/>
          <w:numId w:val="21"/>
        </w:numPr>
        <w:jc w:val="both"/>
        <w:rPr>
          <w:rFonts w:cstheme="minorHAnsi"/>
        </w:rPr>
      </w:pPr>
      <w:r>
        <w:rPr>
          <w:rFonts w:cstheme="minorHAnsi"/>
        </w:rPr>
        <w:t>Temporary Agency Workers Directive</w:t>
      </w:r>
      <w:r>
        <w:rPr>
          <w:rStyle w:val="FootnoteReference"/>
          <w:rFonts w:cstheme="minorHAnsi"/>
        </w:rPr>
        <w:footnoteReference w:id="12"/>
      </w:r>
      <w:r>
        <w:rPr>
          <w:rFonts w:cstheme="minorHAnsi"/>
        </w:rPr>
        <w:t xml:space="preserve"> providing that basic working and employment conditions of temporary agency workers should be at least those that would apply if they had been recruited directly to the same job (implemented through the Ag</w:t>
      </w:r>
      <w:r w:rsidR="00FF216B">
        <w:rPr>
          <w:rFonts w:cstheme="minorHAnsi"/>
        </w:rPr>
        <w:t>ency Workers Regulations 2010)</w:t>
      </w:r>
    </w:p>
    <w:p w:rsidR="00C82883" w:rsidRDefault="00FF7347" w:rsidP="00140C8F">
      <w:pPr>
        <w:numPr>
          <w:ilvl w:val="0"/>
          <w:numId w:val="21"/>
        </w:numPr>
        <w:jc w:val="both"/>
        <w:rPr>
          <w:rFonts w:cstheme="minorHAnsi"/>
        </w:rPr>
      </w:pPr>
      <w:r w:rsidRPr="00C82883">
        <w:rPr>
          <w:rFonts w:cstheme="minorHAnsi"/>
        </w:rPr>
        <w:t>Other potentially relevant directives</w:t>
      </w:r>
      <w:r w:rsidR="003F7B1B">
        <w:rPr>
          <w:rFonts w:cstheme="minorHAnsi"/>
        </w:rPr>
        <w:t xml:space="preserve"> are those relevant in the employment context and</w:t>
      </w:r>
      <w:r w:rsidRPr="00C82883">
        <w:rPr>
          <w:rFonts w:cstheme="minorHAnsi"/>
        </w:rPr>
        <w:t xml:space="preserve"> include Council Directive on the Protection of Young People at Work</w:t>
      </w:r>
      <w:r w:rsidR="00C82883">
        <w:rPr>
          <w:rStyle w:val="FootnoteReference"/>
          <w:rFonts w:cstheme="minorHAnsi"/>
        </w:rPr>
        <w:footnoteReference w:id="13"/>
      </w:r>
      <w:r w:rsidR="00544A1B">
        <w:rPr>
          <w:rFonts w:cstheme="minorHAnsi"/>
        </w:rPr>
        <w:t xml:space="preserve"> and the </w:t>
      </w:r>
      <w:r w:rsidRPr="00C82883">
        <w:rPr>
          <w:rFonts w:cstheme="minorHAnsi"/>
        </w:rPr>
        <w:t>Posted Workers Directive</w:t>
      </w:r>
      <w:r w:rsidR="00C82883">
        <w:rPr>
          <w:rStyle w:val="FootnoteReference"/>
          <w:rFonts w:cstheme="minorHAnsi"/>
        </w:rPr>
        <w:footnoteReference w:id="14"/>
      </w:r>
      <w:r w:rsidR="00C82883">
        <w:rPr>
          <w:rFonts w:cstheme="minorHAnsi"/>
        </w:rPr>
        <w:t>.</w:t>
      </w:r>
    </w:p>
    <w:p w:rsidR="00BA776B" w:rsidRPr="00C82883" w:rsidRDefault="00C82883" w:rsidP="00C82883">
      <w:pPr>
        <w:ind w:left="360"/>
        <w:jc w:val="both"/>
        <w:rPr>
          <w:rFonts w:cstheme="minorHAnsi"/>
        </w:rPr>
      </w:pPr>
      <w:r>
        <w:rPr>
          <w:rFonts w:cstheme="minorHAnsi"/>
        </w:rPr>
        <w:t>In 1997, t</w:t>
      </w:r>
      <w:r w:rsidR="00FF7347" w:rsidRPr="00C82883">
        <w:rPr>
          <w:rFonts w:cstheme="minorHAnsi"/>
        </w:rPr>
        <w:t>he Treaty of Amsterdam</w:t>
      </w:r>
      <w:r>
        <w:rPr>
          <w:rFonts w:cstheme="minorHAnsi"/>
        </w:rPr>
        <w:t xml:space="preserve"> extended the competence of the</w:t>
      </w:r>
      <w:r w:rsidR="00FF7347" w:rsidRPr="00C82883">
        <w:rPr>
          <w:rFonts w:cstheme="minorHAnsi"/>
        </w:rPr>
        <w:t xml:space="preserve"> EU to deal with discrimination beyond gender and nationality. </w:t>
      </w:r>
      <w:r w:rsidR="00BA776B" w:rsidRPr="00C82883">
        <w:rPr>
          <w:rFonts w:cstheme="minorHAnsi"/>
        </w:rPr>
        <w:t>Article 19</w:t>
      </w:r>
      <w:r w:rsidR="00FF7347" w:rsidRPr="00C82883">
        <w:rPr>
          <w:rFonts w:cstheme="minorHAnsi"/>
        </w:rPr>
        <w:t xml:space="preserve"> TFEU </w:t>
      </w:r>
      <w:r w:rsidR="00930ECC" w:rsidRPr="00C82883">
        <w:rPr>
          <w:rFonts w:cstheme="minorHAnsi"/>
        </w:rPr>
        <w:t xml:space="preserve">gives the Council </w:t>
      </w:r>
      <w:r w:rsidR="00BA776B" w:rsidRPr="00C82883">
        <w:rPr>
          <w:rFonts w:cstheme="minorHAnsi"/>
        </w:rPr>
        <w:t xml:space="preserve">the power to take </w:t>
      </w:r>
      <w:r w:rsidR="00FF7347" w:rsidRPr="00C82883">
        <w:rPr>
          <w:rFonts w:cstheme="minorHAnsi"/>
        </w:rPr>
        <w:t>action to combat discrimination</w:t>
      </w:r>
      <w:r w:rsidR="00930ECC" w:rsidRPr="00C82883">
        <w:rPr>
          <w:rFonts w:cstheme="minorHAnsi"/>
        </w:rPr>
        <w:t xml:space="preserve"> which</w:t>
      </w:r>
      <w:r w:rsidR="00FF7347" w:rsidRPr="00C82883">
        <w:rPr>
          <w:rFonts w:cstheme="minorHAnsi"/>
        </w:rPr>
        <w:t xml:space="preserve"> </w:t>
      </w:r>
      <w:r w:rsidR="00930ECC" w:rsidRPr="00C82883">
        <w:rPr>
          <w:rFonts w:cstheme="minorHAnsi"/>
        </w:rPr>
        <w:t>“</w:t>
      </w:r>
      <w:r w:rsidR="00063C02" w:rsidRPr="00C82883">
        <w:rPr>
          <w:rFonts w:cstheme="minorHAnsi"/>
        </w:rPr>
        <w:t>acting unanimously... [with the] consent of the European Parliament</w:t>
      </w:r>
      <w:r w:rsidR="00BA776B" w:rsidRPr="00C82883">
        <w:rPr>
          <w:rFonts w:cstheme="minorHAnsi"/>
        </w:rPr>
        <w:t>, may take appropriate action to combat discrimination based on sex, racial or ethnic origin, religion or belief, disability, age or sexual orientation”.</w:t>
      </w:r>
      <w:r w:rsidR="00C16A08" w:rsidRPr="00C82883">
        <w:rPr>
          <w:rFonts w:cstheme="minorHAnsi"/>
        </w:rPr>
        <w:t xml:space="preserve"> This Ar</w:t>
      </w:r>
      <w:r w:rsidR="00140C8F" w:rsidRPr="00C82883">
        <w:rPr>
          <w:rFonts w:cstheme="minorHAnsi"/>
        </w:rPr>
        <w:t>t</w:t>
      </w:r>
      <w:r w:rsidR="00C16A08" w:rsidRPr="00C82883">
        <w:rPr>
          <w:rFonts w:cstheme="minorHAnsi"/>
        </w:rPr>
        <w:t xml:space="preserve">icle </w:t>
      </w:r>
      <w:r w:rsidR="00063C02" w:rsidRPr="00C82883">
        <w:rPr>
          <w:rFonts w:cstheme="minorHAnsi"/>
        </w:rPr>
        <w:t>is the basis for a number of important directives, namely:</w:t>
      </w:r>
    </w:p>
    <w:p w:rsidR="00BA776B" w:rsidRPr="00BA776B" w:rsidRDefault="00BA776B" w:rsidP="00DC1431">
      <w:pPr>
        <w:numPr>
          <w:ilvl w:val="0"/>
          <w:numId w:val="22"/>
        </w:numPr>
        <w:jc w:val="both"/>
        <w:rPr>
          <w:rFonts w:cstheme="minorHAnsi"/>
        </w:rPr>
      </w:pPr>
      <w:r w:rsidRPr="00BA776B">
        <w:rPr>
          <w:rFonts w:cstheme="minorHAnsi"/>
        </w:rPr>
        <w:t>Race Directive</w:t>
      </w:r>
      <w:r w:rsidR="00C82883">
        <w:rPr>
          <w:rStyle w:val="FootnoteReference"/>
          <w:rFonts w:cstheme="minorHAnsi"/>
        </w:rPr>
        <w:footnoteReference w:id="15"/>
      </w:r>
      <w:r w:rsidR="00FF7347">
        <w:rPr>
          <w:rFonts w:cstheme="minorHAnsi"/>
        </w:rPr>
        <w:t xml:space="preserve"> </w:t>
      </w:r>
      <w:r w:rsidRPr="00BA776B">
        <w:rPr>
          <w:rFonts w:cstheme="minorHAnsi"/>
        </w:rPr>
        <w:t>(</w:t>
      </w:r>
      <w:r w:rsidR="00FF7347">
        <w:rPr>
          <w:rFonts w:cstheme="minorHAnsi"/>
        </w:rPr>
        <w:t xml:space="preserve">covering race discrimination in employment, </w:t>
      </w:r>
      <w:r w:rsidRPr="00BA776B">
        <w:rPr>
          <w:rFonts w:cstheme="minorHAnsi"/>
        </w:rPr>
        <w:t xml:space="preserve">goods and services, </w:t>
      </w:r>
      <w:r w:rsidR="00FF7347">
        <w:rPr>
          <w:rFonts w:cstheme="minorHAnsi"/>
        </w:rPr>
        <w:t xml:space="preserve">housing </w:t>
      </w:r>
      <w:r w:rsidRPr="00BA776B">
        <w:rPr>
          <w:rFonts w:cstheme="minorHAnsi"/>
        </w:rPr>
        <w:t>education and social protection)</w:t>
      </w:r>
    </w:p>
    <w:p w:rsidR="00BA776B" w:rsidRPr="00BA776B" w:rsidRDefault="00BA776B" w:rsidP="00DC1431">
      <w:pPr>
        <w:numPr>
          <w:ilvl w:val="0"/>
          <w:numId w:val="22"/>
        </w:numPr>
        <w:jc w:val="both"/>
        <w:rPr>
          <w:rFonts w:cstheme="minorHAnsi"/>
        </w:rPr>
      </w:pPr>
      <w:r w:rsidRPr="00BA776B">
        <w:rPr>
          <w:rFonts w:cstheme="minorHAnsi"/>
        </w:rPr>
        <w:t>Framework Directive</w:t>
      </w:r>
      <w:r w:rsidR="00C82883">
        <w:rPr>
          <w:rStyle w:val="FootnoteReference"/>
          <w:rFonts w:cstheme="minorHAnsi"/>
        </w:rPr>
        <w:footnoteReference w:id="16"/>
      </w:r>
      <w:r w:rsidR="00FF7347">
        <w:rPr>
          <w:rFonts w:cstheme="minorHAnsi"/>
        </w:rPr>
        <w:t xml:space="preserve"> </w:t>
      </w:r>
      <w:r w:rsidRPr="00BA776B">
        <w:rPr>
          <w:rFonts w:cstheme="minorHAnsi"/>
        </w:rPr>
        <w:t>(covering sexual orientati</w:t>
      </w:r>
      <w:r w:rsidR="00140C8F">
        <w:rPr>
          <w:rFonts w:cstheme="minorHAnsi"/>
        </w:rPr>
        <w:t>on, disability, age, religion and</w:t>
      </w:r>
      <w:r w:rsidRPr="00BA776B">
        <w:rPr>
          <w:rFonts w:cstheme="minorHAnsi"/>
        </w:rPr>
        <w:t xml:space="preserve"> belief </w:t>
      </w:r>
      <w:r w:rsidR="00140C8F">
        <w:rPr>
          <w:rFonts w:cstheme="minorHAnsi"/>
        </w:rPr>
        <w:t xml:space="preserve">discrimination </w:t>
      </w:r>
      <w:r w:rsidRPr="00BA776B">
        <w:rPr>
          <w:rFonts w:cstheme="minorHAnsi"/>
        </w:rPr>
        <w:t>in the employment context)</w:t>
      </w:r>
    </w:p>
    <w:p w:rsidR="00BA776B" w:rsidRDefault="00BA776B" w:rsidP="00DC1431">
      <w:pPr>
        <w:numPr>
          <w:ilvl w:val="0"/>
          <w:numId w:val="22"/>
        </w:numPr>
        <w:jc w:val="both"/>
        <w:rPr>
          <w:rFonts w:cstheme="minorHAnsi"/>
        </w:rPr>
      </w:pPr>
      <w:r w:rsidRPr="00BA776B">
        <w:rPr>
          <w:rFonts w:cstheme="minorHAnsi"/>
        </w:rPr>
        <w:t>Gender Directive</w:t>
      </w:r>
      <w:r w:rsidR="00C82883">
        <w:rPr>
          <w:rStyle w:val="FootnoteReference"/>
          <w:rFonts w:cstheme="minorHAnsi"/>
        </w:rPr>
        <w:footnoteReference w:id="17"/>
      </w:r>
      <w:r w:rsidR="00FF7347">
        <w:rPr>
          <w:rFonts w:cstheme="minorHAnsi"/>
        </w:rPr>
        <w:t xml:space="preserve"> </w:t>
      </w:r>
      <w:r w:rsidRPr="00BA776B">
        <w:rPr>
          <w:rFonts w:cstheme="minorHAnsi"/>
        </w:rPr>
        <w:t xml:space="preserve">(covering </w:t>
      </w:r>
      <w:r w:rsidR="00FF7347">
        <w:rPr>
          <w:rFonts w:cstheme="minorHAnsi"/>
        </w:rPr>
        <w:t xml:space="preserve">gender discrimination in the provision of </w:t>
      </w:r>
      <w:r w:rsidRPr="00BA776B">
        <w:rPr>
          <w:rFonts w:cstheme="minorHAnsi"/>
        </w:rPr>
        <w:t>goods and services)</w:t>
      </w:r>
      <w:r w:rsidR="00140C8F">
        <w:rPr>
          <w:rFonts w:cstheme="minorHAnsi"/>
        </w:rPr>
        <w:t>.</w:t>
      </w:r>
    </w:p>
    <w:p w:rsidR="00FF7347" w:rsidRDefault="00063C02" w:rsidP="00140C8F">
      <w:pPr>
        <w:jc w:val="both"/>
        <w:rPr>
          <w:rFonts w:cstheme="minorHAnsi"/>
        </w:rPr>
      </w:pPr>
      <w:r>
        <w:rPr>
          <w:rFonts w:cstheme="minorHAnsi"/>
        </w:rPr>
        <w:t>These too are a</w:t>
      </w:r>
      <w:r w:rsidR="00FF7347">
        <w:rPr>
          <w:rFonts w:cstheme="minorHAnsi"/>
        </w:rPr>
        <w:t xml:space="preserve">ll now implemented into domestic law through the Equality Act 2010. </w:t>
      </w:r>
    </w:p>
    <w:p w:rsidR="00024099" w:rsidRPr="00BA776B" w:rsidRDefault="00024099" w:rsidP="00140C8F">
      <w:pPr>
        <w:jc w:val="both"/>
        <w:rPr>
          <w:rFonts w:cstheme="minorHAnsi"/>
        </w:rPr>
      </w:pPr>
      <w:r>
        <w:rPr>
          <w:rFonts w:cstheme="minorHAnsi"/>
        </w:rPr>
        <w:lastRenderedPageBreak/>
        <w:t xml:space="preserve">The </w:t>
      </w:r>
      <w:r w:rsidR="00A50A8B">
        <w:rPr>
          <w:rFonts w:cstheme="minorHAnsi"/>
        </w:rPr>
        <w:t>Race and Recast Gender Directives require the establishment of a body for the promotion of equal treatment on grounds of race and sex. This requirement is currently fulfilled by the establishment of the Equality and Human Rights Commission under the Equality Act 2006.</w:t>
      </w:r>
    </w:p>
    <w:p w:rsidR="00C82883" w:rsidRDefault="00C82883" w:rsidP="00140C8F">
      <w:pPr>
        <w:jc w:val="both"/>
        <w:rPr>
          <w:rFonts w:cstheme="minorHAnsi"/>
        </w:rPr>
      </w:pPr>
      <w:r>
        <w:rPr>
          <w:rFonts w:cstheme="minorHAnsi"/>
        </w:rPr>
        <w:t xml:space="preserve">In 2009, following the Lisbon Treaty, </w:t>
      </w:r>
      <w:r w:rsidR="00BA776B" w:rsidRPr="00BA776B">
        <w:rPr>
          <w:rFonts w:cstheme="minorHAnsi"/>
        </w:rPr>
        <w:t xml:space="preserve">TEU </w:t>
      </w:r>
      <w:r w:rsidR="00544A1B">
        <w:rPr>
          <w:rFonts w:cstheme="minorHAnsi"/>
        </w:rPr>
        <w:t xml:space="preserve">now </w:t>
      </w:r>
      <w:r>
        <w:rPr>
          <w:rFonts w:cstheme="minorHAnsi"/>
        </w:rPr>
        <w:t>h</w:t>
      </w:r>
      <w:r w:rsidR="00BA776B" w:rsidRPr="00BA776B">
        <w:rPr>
          <w:rFonts w:cstheme="minorHAnsi"/>
        </w:rPr>
        <w:t>as the effect of incorporating the Charter</w:t>
      </w:r>
      <w:r>
        <w:rPr>
          <w:rFonts w:cstheme="minorHAnsi"/>
        </w:rPr>
        <w:t xml:space="preserve"> of Fundamental Rights </w:t>
      </w:r>
      <w:r w:rsidR="00BA776B" w:rsidRPr="00BA776B">
        <w:rPr>
          <w:rFonts w:cstheme="minorHAnsi"/>
        </w:rPr>
        <w:t xml:space="preserve">into the legal order of TEU and TFEU such that it has binding effect and the </w:t>
      </w:r>
      <w:r w:rsidR="00063C02">
        <w:rPr>
          <w:rFonts w:cstheme="minorHAnsi"/>
        </w:rPr>
        <w:t xml:space="preserve">same status as the two treaties. </w:t>
      </w:r>
      <w:r w:rsidR="00BA776B" w:rsidRPr="00BA776B">
        <w:rPr>
          <w:rFonts w:cstheme="minorHAnsi"/>
        </w:rPr>
        <w:t xml:space="preserve">Equality and protection of human rights </w:t>
      </w:r>
      <w:r w:rsidR="00544A1B">
        <w:rPr>
          <w:rFonts w:cstheme="minorHAnsi"/>
        </w:rPr>
        <w:t xml:space="preserve">are </w:t>
      </w:r>
      <w:r w:rsidR="00BA776B" w:rsidRPr="00BA776B">
        <w:rPr>
          <w:rFonts w:cstheme="minorHAnsi"/>
        </w:rPr>
        <w:t xml:space="preserve">now primary goals of </w:t>
      </w:r>
      <w:r w:rsidR="00544A1B">
        <w:rPr>
          <w:rFonts w:cstheme="minorHAnsi"/>
        </w:rPr>
        <w:t xml:space="preserve">the </w:t>
      </w:r>
      <w:r w:rsidR="00BA776B" w:rsidRPr="00BA776B">
        <w:rPr>
          <w:rFonts w:cstheme="minorHAnsi"/>
        </w:rPr>
        <w:t>EU</w:t>
      </w:r>
      <w:r>
        <w:rPr>
          <w:rStyle w:val="FootnoteReference"/>
          <w:rFonts w:cstheme="minorHAnsi"/>
        </w:rPr>
        <w:footnoteReference w:id="18"/>
      </w:r>
      <w:r>
        <w:rPr>
          <w:rFonts w:cstheme="minorHAnsi"/>
        </w:rPr>
        <w:t xml:space="preserve">. </w:t>
      </w:r>
    </w:p>
    <w:p w:rsidR="00C82883" w:rsidRPr="00176822" w:rsidRDefault="00E70C10" w:rsidP="00176822">
      <w:pPr>
        <w:jc w:val="both"/>
        <w:rPr>
          <w:rFonts w:cstheme="minorHAnsi"/>
          <w:b/>
        </w:rPr>
      </w:pPr>
      <w:r>
        <w:rPr>
          <w:rFonts w:cstheme="minorHAnsi"/>
          <w:b/>
        </w:rPr>
        <w:t xml:space="preserve">Risks: </w:t>
      </w:r>
      <w:r w:rsidR="00C82883" w:rsidRPr="00176822">
        <w:rPr>
          <w:rFonts w:cstheme="minorHAnsi"/>
          <w:b/>
        </w:rPr>
        <w:t>Equality as a reserved area</w:t>
      </w:r>
    </w:p>
    <w:p w:rsidR="00DB2FD5" w:rsidRPr="00140C8F" w:rsidRDefault="00FA6D18" w:rsidP="00140C8F">
      <w:pPr>
        <w:jc w:val="both"/>
        <w:rPr>
          <w:rFonts w:cstheme="minorHAnsi"/>
        </w:rPr>
      </w:pPr>
      <w:r>
        <w:rPr>
          <w:rFonts w:cstheme="minorHAnsi"/>
        </w:rPr>
        <w:t xml:space="preserve">“Equal opportunities”, and therefore equality law, with limited exceptions set out in Schedule 5 L2 and discussed later in this paper, </w:t>
      </w:r>
      <w:r w:rsidR="00C82883">
        <w:rPr>
          <w:rFonts w:cstheme="minorHAnsi"/>
        </w:rPr>
        <w:t xml:space="preserve">is </w:t>
      </w:r>
      <w:r w:rsidR="00DC1431">
        <w:rPr>
          <w:rFonts w:cstheme="minorHAnsi"/>
        </w:rPr>
        <w:t xml:space="preserve">essentially reserved. </w:t>
      </w:r>
      <w:r>
        <w:rPr>
          <w:rFonts w:cstheme="minorHAnsi"/>
        </w:rPr>
        <w:t xml:space="preserve">The key European rights are </w:t>
      </w:r>
      <w:r w:rsidR="00DC1431">
        <w:rPr>
          <w:rFonts w:cstheme="minorHAnsi"/>
        </w:rPr>
        <w:t xml:space="preserve">therefore </w:t>
      </w:r>
      <w:r>
        <w:rPr>
          <w:rFonts w:cstheme="minorHAnsi"/>
        </w:rPr>
        <w:t xml:space="preserve">implemented </w:t>
      </w:r>
      <w:r w:rsidR="00C82883">
        <w:rPr>
          <w:rFonts w:cstheme="minorHAnsi"/>
        </w:rPr>
        <w:t xml:space="preserve">almost exclusively </w:t>
      </w:r>
      <w:r w:rsidR="00DB2FD5" w:rsidRPr="00140C8F">
        <w:rPr>
          <w:rFonts w:cstheme="minorHAnsi"/>
        </w:rPr>
        <w:t xml:space="preserve">through UK legal sources, and </w:t>
      </w:r>
      <w:r>
        <w:rPr>
          <w:rFonts w:cstheme="minorHAnsi"/>
        </w:rPr>
        <w:t>in particular the Equality Act 2010.</w:t>
      </w:r>
      <w:r w:rsidR="00DC1431">
        <w:rPr>
          <w:rFonts w:cstheme="minorHAnsi"/>
        </w:rPr>
        <w:t xml:space="preserve">  </w:t>
      </w:r>
      <w:r w:rsidR="00DB2FD5" w:rsidRPr="00140C8F">
        <w:rPr>
          <w:rFonts w:cstheme="minorHAnsi"/>
        </w:rPr>
        <w:t xml:space="preserve">By and large </w:t>
      </w:r>
      <w:r>
        <w:rPr>
          <w:rFonts w:cstheme="minorHAnsi"/>
        </w:rPr>
        <w:t>th</w:t>
      </w:r>
      <w:r w:rsidR="00DC1431">
        <w:rPr>
          <w:rFonts w:cstheme="minorHAnsi"/>
        </w:rPr>
        <w:t>e relevant legislation has been introduced</w:t>
      </w:r>
      <w:r>
        <w:rPr>
          <w:rFonts w:cstheme="minorHAnsi"/>
        </w:rPr>
        <w:t xml:space="preserve"> </w:t>
      </w:r>
      <w:r w:rsidR="00DC1431">
        <w:rPr>
          <w:rFonts w:cstheme="minorHAnsi"/>
        </w:rPr>
        <w:t xml:space="preserve">by the </w:t>
      </w:r>
      <w:r w:rsidR="00145F39">
        <w:rPr>
          <w:rFonts w:cstheme="minorHAnsi"/>
        </w:rPr>
        <w:t>Westminster</w:t>
      </w:r>
      <w:r w:rsidR="00DC1431">
        <w:rPr>
          <w:rFonts w:cstheme="minorHAnsi"/>
        </w:rPr>
        <w:t xml:space="preserve"> Parliament, although</w:t>
      </w:r>
      <w:r w:rsidR="00DB2FD5" w:rsidRPr="00140C8F">
        <w:rPr>
          <w:rFonts w:cstheme="minorHAnsi"/>
        </w:rPr>
        <w:t xml:space="preserve"> </w:t>
      </w:r>
      <w:r w:rsidR="00DC1431">
        <w:rPr>
          <w:rFonts w:cstheme="minorHAnsi"/>
        </w:rPr>
        <w:t xml:space="preserve">there is some limited Scottish provision, </w:t>
      </w:r>
      <w:r w:rsidR="00DB2FD5" w:rsidRPr="00140C8F">
        <w:rPr>
          <w:rFonts w:cstheme="minorHAnsi"/>
        </w:rPr>
        <w:t xml:space="preserve">where there is an interplay with Scottish devolved legislation, in particular </w:t>
      </w:r>
      <w:r w:rsidR="00DC1431">
        <w:rPr>
          <w:rFonts w:cstheme="minorHAnsi"/>
        </w:rPr>
        <w:t xml:space="preserve">in </w:t>
      </w:r>
      <w:r w:rsidR="00DB2FD5" w:rsidRPr="00140C8F">
        <w:rPr>
          <w:rFonts w:cstheme="minorHAnsi"/>
        </w:rPr>
        <w:t>education and housing</w:t>
      </w:r>
      <w:r w:rsidR="00544A1B">
        <w:rPr>
          <w:rFonts w:cstheme="minorHAnsi"/>
        </w:rPr>
        <w:t>,</w:t>
      </w:r>
      <w:r>
        <w:rPr>
          <w:rFonts w:cstheme="minorHAnsi"/>
        </w:rPr>
        <w:t xml:space="preserve"> where legislative consent motions have been required</w:t>
      </w:r>
      <w:r w:rsidR="00C82883">
        <w:rPr>
          <w:rStyle w:val="FootnoteReference"/>
          <w:rFonts w:cstheme="minorHAnsi"/>
        </w:rPr>
        <w:footnoteReference w:id="19"/>
      </w:r>
      <w:r w:rsidR="00C82883">
        <w:rPr>
          <w:rFonts w:cstheme="minorHAnsi"/>
        </w:rPr>
        <w:t>.</w:t>
      </w:r>
    </w:p>
    <w:p w:rsidR="00DB2FD5" w:rsidRPr="00140C8F" w:rsidRDefault="00FA6D18" w:rsidP="00140C8F">
      <w:pPr>
        <w:jc w:val="both"/>
        <w:rPr>
          <w:rFonts w:cstheme="minorHAnsi"/>
        </w:rPr>
      </w:pPr>
      <w:r>
        <w:rPr>
          <w:rFonts w:cstheme="minorHAnsi"/>
        </w:rPr>
        <w:t xml:space="preserve">And while many of the provisions of the </w:t>
      </w:r>
      <w:r w:rsidR="00DB2FD5" w:rsidRPr="00140C8F">
        <w:rPr>
          <w:rFonts w:cstheme="minorHAnsi"/>
        </w:rPr>
        <w:t>Equality Act</w:t>
      </w:r>
      <w:r>
        <w:rPr>
          <w:rFonts w:cstheme="minorHAnsi"/>
        </w:rPr>
        <w:t xml:space="preserve"> 2010 implement the requirements of European law, </w:t>
      </w:r>
      <w:r w:rsidR="00C82883">
        <w:rPr>
          <w:rFonts w:cstheme="minorHAnsi"/>
        </w:rPr>
        <w:t xml:space="preserve">a significant number </w:t>
      </w:r>
      <w:r w:rsidR="00DB2FD5" w:rsidRPr="00140C8F">
        <w:rPr>
          <w:rFonts w:cstheme="minorHAnsi"/>
        </w:rPr>
        <w:t>of provisions d</w:t>
      </w:r>
      <w:r w:rsidR="00DC1431">
        <w:rPr>
          <w:rFonts w:cstheme="minorHAnsi"/>
        </w:rPr>
        <w:t>erive from domestic law</w:t>
      </w:r>
      <w:r>
        <w:rPr>
          <w:rFonts w:cstheme="minorHAnsi"/>
        </w:rPr>
        <w:t xml:space="preserve">. In particular, the Equality Act 2010 extends to protect those with the protected characteristic of sexual orientation, religion or belief, age and significantly disability </w:t>
      </w:r>
      <w:r w:rsidR="00DC1431">
        <w:rPr>
          <w:rFonts w:cstheme="minorHAnsi"/>
        </w:rPr>
        <w:t xml:space="preserve">beyond the employment context, to include </w:t>
      </w:r>
      <w:r w:rsidR="00230D6C">
        <w:rPr>
          <w:rFonts w:cstheme="minorHAnsi"/>
        </w:rPr>
        <w:t>protection in relation to the provision of goods and services, the exercise of public function</w:t>
      </w:r>
      <w:r w:rsidR="00FD0588">
        <w:rPr>
          <w:rFonts w:cstheme="minorHAnsi"/>
        </w:rPr>
        <w:t>s</w:t>
      </w:r>
      <w:r w:rsidR="00230D6C">
        <w:rPr>
          <w:rFonts w:cstheme="minorHAnsi"/>
        </w:rPr>
        <w:t>, housing and education.</w:t>
      </w:r>
      <w:r w:rsidR="00C82883">
        <w:rPr>
          <w:rFonts w:cstheme="minorHAnsi"/>
        </w:rPr>
        <w:t xml:space="preserve"> Proposals to extend EU law to these areas (discussed later in this paper) have not been implemented.</w:t>
      </w:r>
    </w:p>
    <w:p w:rsidR="00230D6C" w:rsidRDefault="00230D6C" w:rsidP="00140C8F">
      <w:pPr>
        <w:jc w:val="both"/>
        <w:rPr>
          <w:rFonts w:cstheme="minorHAnsi"/>
        </w:rPr>
      </w:pPr>
      <w:r>
        <w:rPr>
          <w:rFonts w:cstheme="minorHAnsi"/>
        </w:rPr>
        <w:t>Further and perhaps most significantly, t</w:t>
      </w:r>
      <w:r w:rsidR="00DB2FD5" w:rsidRPr="00140C8F">
        <w:rPr>
          <w:rFonts w:cstheme="minorHAnsi"/>
        </w:rPr>
        <w:t xml:space="preserve">he public sector </w:t>
      </w:r>
      <w:r>
        <w:rPr>
          <w:rFonts w:cstheme="minorHAnsi"/>
        </w:rPr>
        <w:t xml:space="preserve">equality </w:t>
      </w:r>
      <w:r w:rsidR="00DB2FD5" w:rsidRPr="00140C8F">
        <w:rPr>
          <w:rFonts w:cstheme="minorHAnsi"/>
        </w:rPr>
        <w:t xml:space="preserve">duty </w:t>
      </w:r>
      <w:r w:rsidR="00C82883">
        <w:rPr>
          <w:rFonts w:cstheme="minorHAnsi"/>
        </w:rPr>
        <w:t xml:space="preserve">(PSED) </w:t>
      </w:r>
      <w:r w:rsidR="00DB2FD5" w:rsidRPr="00140C8F">
        <w:rPr>
          <w:rFonts w:cstheme="minorHAnsi"/>
        </w:rPr>
        <w:t xml:space="preserve">is not underpinned by European law and therefore there would be no change </w:t>
      </w:r>
      <w:r w:rsidR="00DC1431">
        <w:rPr>
          <w:rFonts w:cstheme="minorHAnsi"/>
        </w:rPr>
        <w:t>to the current position</w:t>
      </w:r>
      <w:r>
        <w:rPr>
          <w:rFonts w:cstheme="minorHAnsi"/>
        </w:rPr>
        <w:t xml:space="preserve"> post Brexit</w:t>
      </w:r>
      <w:r w:rsidR="00DC1431">
        <w:rPr>
          <w:rFonts w:cstheme="minorHAnsi"/>
        </w:rPr>
        <w:t xml:space="preserve"> </w:t>
      </w:r>
      <w:r w:rsidR="00DB2FD5" w:rsidRPr="00140C8F">
        <w:rPr>
          <w:rFonts w:cstheme="minorHAnsi"/>
        </w:rPr>
        <w:t>(given no indications on the horizon of a similar duty at the European level)</w:t>
      </w:r>
      <w:r>
        <w:rPr>
          <w:rFonts w:cstheme="minorHAnsi"/>
        </w:rPr>
        <w:t>.</w:t>
      </w:r>
      <w:r w:rsidR="00DB2FD5" w:rsidRPr="00140C8F">
        <w:rPr>
          <w:rFonts w:cstheme="minorHAnsi"/>
        </w:rPr>
        <w:t xml:space="preserve"> </w:t>
      </w:r>
    </w:p>
    <w:p w:rsidR="00DB2FD5" w:rsidRPr="00140C8F" w:rsidRDefault="00DB2FD5" w:rsidP="00140C8F">
      <w:pPr>
        <w:jc w:val="both"/>
        <w:rPr>
          <w:rFonts w:cstheme="minorHAnsi"/>
        </w:rPr>
      </w:pPr>
      <w:r w:rsidRPr="00140C8F">
        <w:rPr>
          <w:rFonts w:cstheme="minorHAnsi"/>
        </w:rPr>
        <w:t>If the Equality Act remains on the statute book</w:t>
      </w:r>
      <w:r w:rsidR="00DE4E02">
        <w:rPr>
          <w:rFonts w:cstheme="minorHAnsi"/>
        </w:rPr>
        <w:t xml:space="preserve"> post Brexit</w:t>
      </w:r>
      <w:r w:rsidRPr="00140C8F">
        <w:rPr>
          <w:rFonts w:cstheme="minorHAnsi"/>
        </w:rPr>
        <w:t>, then the current levels of protection will be maintained</w:t>
      </w:r>
      <w:r w:rsidR="00DE4E02">
        <w:rPr>
          <w:rFonts w:cstheme="minorHAnsi"/>
        </w:rPr>
        <w:t xml:space="preserve"> (although </w:t>
      </w:r>
      <w:r w:rsidR="00FF216B">
        <w:rPr>
          <w:rFonts w:cstheme="minorHAnsi"/>
        </w:rPr>
        <w:t xml:space="preserve">presumably </w:t>
      </w:r>
      <w:r w:rsidR="00DE4E02">
        <w:rPr>
          <w:rFonts w:cstheme="minorHAnsi"/>
        </w:rPr>
        <w:t>without the CJEU to adjudicate on questions of interpretation)</w:t>
      </w:r>
      <w:r w:rsidRPr="00140C8F">
        <w:rPr>
          <w:rFonts w:cstheme="minorHAnsi"/>
        </w:rPr>
        <w:t xml:space="preserve">. </w:t>
      </w:r>
      <w:r w:rsidR="00AD48E6" w:rsidRPr="00140C8F">
        <w:rPr>
          <w:rFonts w:cstheme="minorHAnsi"/>
        </w:rPr>
        <w:t>However, given that equality la</w:t>
      </w:r>
      <w:r w:rsidR="00DE4E02">
        <w:rPr>
          <w:rFonts w:cstheme="minorHAnsi"/>
        </w:rPr>
        <w:t>w is almost exclusively reserved</w:t>
      </w:r>
      <w:r w:rsidR="00AD48E6" w:rsidRPr="00140C8F">
        <w:rPr>
          <w:rFonts w:cstheme="minorHAnsi"/>
        </w:rPr>
        <w:t>, there is clearly a risk that the Westminster Parliament will dilute rights where there is no longer any European Union underpinning.</w:t>
      </w:r>
      <w:r w:rsidR="00DE4E02">
        <w:rPr>
          <w:rFonts w:cstheme="minorHAnsi"/>
        </w:rPr>
        <w:t xml:space="preserve"> That will obviously depend on the political complexion of any Westminster government.</w:t>
      </w:r>
    </w:p>
    <w:p w:rsidR="00AD48E6" w:rsidRPr="00140C8F" w:rsidRDefault="00DE4E02" w:rsidP="00140C8F">
      <w:pPr>
        <w:jc w:val="both"/>
        <w:rPr>
          <w:rFonts w:cstheme="minorHAnsi"/>
        </w:rPr>
      </w:pPr>
      <w:r>
        <w:rPr>
          <w:rFonts w:cstheme="minorHAnsi"/>
        </w:rPr>
        <w:t>T</w:t>
      </w:r>
      <w:r w:rsidR="00230D6C">
        <w:rPr>
          <w:rFonts w:cstheme="minorHAnsi"/>
        </w:rPr>
        <w:t>hat risk is a live one in any event in respect of all aspects of the Equality Act beyond the requirements of European law. For example, there are i</w:t>
      </w:r>
      <w:r>
        <w:rPr>
          <w:rFonts w:cstheme="minorHAnsi"/>
        </w:rPr>
        <w:t xml:space="preserve">ndications </w:t>
      </w:r>
      <w:r w:rsidR="00AD48E6" w:rsidRPr="00140C8F">
        <w:rPr>
          <w:rFonts w:cstheme="minorHAnsi"/>
        </w:rPr>
        <w:t xml:space="preserve">that the public sector equality duty </w:t>
      </w:r>
      <w:r w:rsidR="00230D6C">
        <w:rPr>
          <w:rFonts w:cstheme="minorHAnsi"/>
        </w:rPr>
        <w:t xml:space="preserve">may be </w:t>
      </w:r>
      <w:r w:rsidR="00DC1431" w:rsidRPr="00140C8F">
        <w:rPr>
          <w:rFonts w:cstheme="minorHAnsi"/>
        </w:rPr>
        <w:t xml:space="preserve">vulnerable to amendment </w:t>
      </w:r>
      <w:r w:rsidR="00230D6C">
        <w:rPr>
          <w:rFonts w:cstheme="minorHAnsi"/>
        </w:rPr>
        <w:t xml:space="preserve">or repeal </w:t>
      </w:r>
      <w:r w:rsidR="00DC1431" w:rsidRPr="00140C8F">
        <w:rPr>
          <w:rFonts w:cstheme="minorHAnsi"/>
        </w:rPr>
        <w:t>by the Westminster Parliament</w:t>
      </w:r>
      <w:r w:rsidR="00230D6C">
        <w:rPr>
          <w:rFonts w:cstheme="minorHAnsi"/>
        </w:rPr>
        <w:t>, given the recent review in</w:t>
      </w:r>
      <w:r w:rsidR="00DC1431" w:rsidRPr="00140C8F">
        <w:rPr>
          <w:rFonts w:cstheme="minorHAnsi"/>
        </w:rPr>
        <w:t xml:space="preserve">to the operation of the public sector </w:t>
      </w:r>
      <w:r>
        <w:rPr>
          <w:rFonts w:cstheme="minorHAnsi"/>
        </w:rPr>
        <w:t xml:space="preserve">equality </w:t>
      </w:r>
      <w:r w:rsidR="00DC1431" w:rsidRPr="00140C8F">
        <w:rPr>
          <w:rFonts w:cstheme="minorHAnsi"/>
        </w:rPr>
        <w:t>duty</w:t>
      </w:r>
      <w:r>
        <w:rPr>
          <w:rStyle w:val="FootnoteReference"/>
          <w:rFonts w:cstheme="minorHAnsi"/>
        </w:rPr>
        <w:footnoteReference w:id="20"/>
      </w:r>
      <w:r w:rsidR="00230D6C">
        <w:rPr>
          <w:rFonts w:cstheme="minorHAnsi"/>
        </w:rPr>
        <w:t xml:space="preserve">. </w:t>
      </w:r>
      <w:r w:rsidR="00AD48E6" w:rsidRPr="00140C8F">
        <w:rPr>
          <w:rFonts w:cstheme="minorHAnsi"/>
        </w:rPr>
        <w:t>Without the requirement for a general duty in the Eq</w:t>
      </w:r>
      <w:r w:rsidR="00230D6C">
        <w:rPr>
          <w:rFonts w:cstheme="minorHAnsi"/>
        </w:rPr>
        <w:t>uality Act, the specific duties brought into f</w:t>
      </w:r>
      <w:r>
        <w:rPr>
          <w:rFonts w:cstheme="minorHAnsi"/>
        </w:rPr>
        <w:t xml:space="preserve">orce by the Scottish Parliament placing requirements on Scottish public authorities </w:t>
      </w:r>
      <w:r w:rsidR="00230D6C">
        <w:rPr>
          <w:rFonts w:cstheme="minorHAnsi"/>
        </w:rPr>
        <w:t>for the better implementation of the general duty will fall.</w:t>
      </w:r>
    </w:p>
    <w:p w:rsidR="00DE4E02" w:rsidRPr="00176822" w:rsidRDefault="00DE4E02" w:rsidP="00176822">
      <w:pPr>
        <w:jc w:val="both"/>
        <w:rPr>
          <w:rFonts w:cstheme="minorHAnsi"/>
          <w:b/>
        </w:rPr>
      </w:pPr>
      <w:r w:rsidRPr="00176822">
        <w:rPr>
          <w:rFonts w:cstheme="minorHAnsi"/>
          <w:b/>
        </w:rPr>
        <w:lastRenderedPageBreak/>
        <w:t>Other international legal sources</w:t>
      </w:r>
    </w:p>
    <w:p w:rsidR="00DB2FD5" w:rsidRDefault="00230D6C" w:rsidP="00140C8F">
      <w:pPr>
        <w:jc w:val="both"/>
        <w:rPr>
          <w:rFonts w:cstheme="minorHAnsi"/>
        </w:rPr>
      </w:pPr>
      <w:r w:rsidRPr="00DE4E02">
        <w:rPr>
          <w:rFonts w:cstheme="minorHAnsi"/>
        </w:rPr>
        <w:t xml:space="preserve">Westminster’s powers will of course be limited by other international legal sources. </w:t>
      </w:r>
      <w:r w:rsidR="00930ECC" w:rsidRPr="00DE4E02">
        <w:rPr>
          <w:rFonts w:cstheme="minorHAnsi"/>
        </w:rPr>
        <w:t>All international and regional human rights instruments contain equality guarantees. Of particular significance  is the European Convention on Human Rights</w:t>
      </w:r>
      <w:r w:rsidR="00DE4E02">
        <w:rPr>
          <w:rFonts w:cstheme="minorHAnsi"/>
        </w:rPr>
        <w:t xml:space="preserve"> (ECHR), which t</w:t>
      </w:r>
      <w:r w:rsidR="00930ECC" w:rsidRPr="00DE4E02">
        <w:rPr>
          <w:rFonts w:cstheme="minorHAnsi"/>
        </w:rPr>
        <w:t>he UK</w:t>
      </w:r>
      <w:r w:rsidR="00DE4E02">
        <w:rPr>
          <w:rFonts w:cstheme="minorHAnsi"/>
        </w:rPr>
        <w:t xml:space="preserve"> has signed and ratified</w:t>
      </w:r>
      <w:r w:rsidR="00930ECC" w:rsidRPr="00DE4E02">
        <w:rPr>
          <w:rFonts w:cstheme="minorHAnsi"/>
        </w:rPr>
        <w:t xml:space="preserve"> and</w:t>
      </w:r>
      <w:r w:rsidR="00544A1B">
        <w:rPr>
          <w:rFonts w:cstheme="minorHAnsi"/>
        </w:rPr>
        <w:t>,</w:t>
      </w:r>
      <w:r w:rsidR="00930ECC" w:rsidRPr="00DE4E02">
        <w:rPr>
          <w:rFonts w:cstheme="minorHAnsi"/>
        </w:rPr>
        <w:t xml:space="preserve"> as a member state of the Council of Europe</w:t>
      </w:r>
      <w:r w:rsidR="00544A1B">
        <w:rPr>
          <w:rFonts w:cstheme="minorHAnsi"/>
        </w:rPr>
        <w:t>,</w:t>
      </w:r>
      <w:r w:rsidR="00930ECC" w:rsidRPr="00DE4E02">
        <w:rPr>
          <w:rFonts w:cstheme="minorHAnsi"/>
        </w:rPr>
        <w:t xml:space="preserve"> is bound by its terms. Significantly in international law terms, its terms have largely been given effect to by the enactment of the Human Rights Act, which </w:t>
      </w:r>
      <w:r w:rsidR="00544A1B">
        <w:rPr>
          <w:rFonts w:cstheme="minorHAnsi"/>
        </w:rPr>
        <w:t xml:space="preserve">essentially </w:t>
      </w:r>
      <w:r w:rsidR="00930ECC" w:rsidRPr="00DE4E02">
        <w:rPr>
          <w:rFonts w:cstheme="minorHAnsi"/>
        </w:rPr>
        <w:t xml:space="preserve">means that they can be relied upon by individuals in courts and tribunals in this country. All of the Convention Rights including in particular the right to family life, freedom of expression and freedom of religion, are relevant for equality law because all must be secured without discrimination in terms of Article 14 which states that: “The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 It should be noted that this is not a </w:t>
      </w:r>
      <w:r w:rsidR="00145F39" w:rsidRPr="00DE4E02">
        <w:rPr>
          <w:rFonts w:cstheme="minorHAnsi"/>
        </w:rPr>
        <w:t>standalone</w:t>
      </w:r>
      <w:r w:rsidR="00930ECC" w:rsidRPr="00DE4E02">
        <w:rPr>
          <w:rFonts w:cstheme="minorHAnsi"/>
        </w:rPr>
        <w:t xml:space="preserve"> equality guarantee, but is limited to those areas which are covered by</w:t>
      </w:r>
      <w:r w:rsidRPr="00DE4E02">
        <w:rPr>
          <w:rFonts w:cstheme="minorHAnsi"/>
        </w:rPr>
        <w:t xml:space="preserve"> relevant Convention rights.</w:t>
      </w:r>
      <w:r w:rsidR="00930ECC" w:rsidRPr="00DE4E02">
        <w:rPr>
          <w:rFonts w:cstheme="minorHAnsi"/>
        </w:rPr>
        <w:t xml:space="preserve"> </w:t>
      </w:r>
      <w:r w:rsidR="00DE4E02">
        <w:rPr>
          <w:rFonts w:cstheme="minorHAnsi"/>
        </w:rPr>
        <w:t xml:space="preserve">Given that the requirements of the HRA require primary and secondary legislation to be interpreted “so far as it is possible to do so” in a way which is compatible with Convention rights, </w:t>
      </w:r>
      <w:r w:rsidRPr="00DE4E02">
        <w:rPr>
          <w:rFonts w:cstheme="minorHAnsi"/>
        </w:rPr>
        <w:t>a certain level of protection that will be afforded in a range of areas (although only to a limited extent in the empl</w:t>
      </w:r>
      <w:r w:rsidR="00DE4E02">
        <w:rPr>
          <w:rFonts w:cstheme="minorHAnsi"/>
        </w:rPr>
        <w:t xml:space="preserve">oyment context). This is of course assuming that the Human Rights Act (or equivalent) also remains on the statute book or at least (to a lesser extent) the UK remains a member of the Council of Europe. </w:t>
      </w:r>
    </w:p>
    <w:p w:rsidR="00BB2A13" w:rsidRPr="00FF216B" w:rsidRDefault="00FF216B" w:rsidP="00FF216B">
      <w:pPr>
        <w:jc w:val="both"/>
        <w:rPr>
          <w:rFonts w:cstheme="minorHAnsi"/>
          <w:b/>
        </w:rPr>
      </w:pPr>
      <w:r>
        <w:rPr>
          <w:rFonts w:cstheme="minorHAnsi"/>
          <w:b/>
        </w:rPr>
        <w:t>Possible future developments at the EU level</w:t>
      </w:r>
    </w:p>
    <w:p w:rsidR="00DB2FD5" w:rsidRDefault="00E758D1" w:rsidP="00140C8F">
      <w:pPr>
        <w:jc w:val="both"/>
        <w:rPr>
          <w:rFonts w:cstheme="minorHAnsi"/>
        </w:rPr>
      </w:pPr>
      <w:r>
        <w:rPr>
          <w:rFonts w:cstheme="minorHAnsi"/>
        </w:rPr>
        <w:t xml:space="preserve">Leaving the EU will meant that there will be no requirement in future to implement any </w:t>
      </w:r>
      <w:proofErr w:type="spellStart"/>
      <w:r>
        <w:rPr>
          <w:rFonts w:cstheme="minorHAnsi"/>
        </w:rPr>
        <w:t>futher</w:t>
      </w:r>
      <w:proofErr w:type="spellEnd"/>
      <w:r>
        <w:rPr>
          <w:rFonts w:cstheme="minorHAnsi"/>
        </w:rPr>
        <w:t xml:space="preserve"> European law provisions in this area. </w:t>
      </w:r>
      <w:r w:rsidR="00DB2FD5">
        <w:rPr>
          <w:rFonts w:cstheme="minorHAnsi"/>
        </w:rPr>
        <w:t xml:space="preserve">There has been a proposal for new Directive under Article 19 on goods and services to combat discrimination </w:t>
      </w:r>
      <w:r w:rsidR="00DB2FD5" w:rsidRPr="00BA776B">
        <w:rPr>
          <w:rFonts w:cstheme="minorHAnsi"/>
        </w:rPr>
        <w:t>based on religion or belief, age, di</w:t>
      </w:r>
      <w:r w:rsidR="00544A1B">
        <w:rPr>
          <w:rFonts w:cstheme="minorHAnsi"/>
        </w:rPr>
        <w:t>sability and</w:t>
      </w:r>
      <w:r w:rsidR="00DB2FD5">
        <w:rPr>
          <w:rFonts w:cstheme="minorHAnsi"/>
        </w:rPr>
        <w:t xml:space="preserve"> sexual orientation a</w:t>
      </w:r>
      <w:r w:rsidR="00DB2FD5" w:rsidRPr="00BA776B">
        <w:rPr>
          <w:rFonts w:cstheme="minorHAnsi"/>
        </w:rPr>
        <w:t>nd to put into effect equal treatment</w:t>
      </w:r>
      <w:r w:rsidR="00DB2FD5">
        <w:rPr>
          <w:rFonts w:cstheme="minorHAnsi"/>
        </w:rPr>
        <w:t xml:space="preserve"> </w:t>
      </w:r>
      <w:r w:rsidR="00140C8F">
        <w:rPr>
          <w:rFonts w:cstheme="minorHAnsi"/>
        </w:rPr>
        <w:t>o</w:t>
      </w:r>
      <w:r w:rsidR="00DB2FD5" w:rsidRPr="00BA776B">
        <w:rPr>
          <w:rFonts w:cstheme="minorHAnsi"/>
        </w:rPr>
        <w:t>utside the field of employment</w:t>
      </w:r>
      <w:r w:rsidR="00E574F1">
        <w:rPr>
          <w:rStyle w:val="FootnoteReference"/>
          <w:rFonts w:cstheme="minorHAnsi"/>
        </w:rPr>
        <w:footnoteReference w:id="21"/>
      </w:r>
      <w:r w:rsidR="00DB2FD5">
        <w:rPr>
          <w:rFonts w:cstheme="minorHAnsi"/>
        </w:rPr>
        <w:t>.  Its pro</w:t>
      </w:r>
      <w:r w:rsidR="00544A1B">
        <w:rPr>
          <w:rFonts w:cstheme="minorHAnsi"/>
        </w:rPr>
        <w:t>posed scope is wide, encompassing</w:t>
      </w:r>
      <w:r w:rsidR="00DB2FD5">
        <w:rPr>
          <w:rFonts w:cstheme="minorHAnsi"/>
        </w:rPr>
        <w:t xml:space="preserve"> “social protection, including social security and health care; social advantages; education; access to and supply of goods and other services which are available to the publi</w:t>
      </w:r>
      <w:r w:rsidR="00FA6D18">
        <w:rPr>
          <w:rFonts w:cstheme="minorHAnsi"/>
        </w:rPr>
        <w:t>c, including housing”, as well as</w:t>
      </w:r>
      <w:r w:rsidR="00DB2FD5">
        <w:rPr>
          <w:rFonts w:cstheme="minorHAnsi"/>
        </w:rPr>
        <w:t xml:space="preserve"> provision for positive action to ensure full in practice</w:t>
      </w:r>
      <w:r w:rsidR="00FA6D18">
        <w:rPr>
          <w:rFonts w:cstheme="minorHAnsi"/>
        </w:rPr>
        <w:t>.</w:t>
      </w:r>
    </w:p>
    <w:p w:rsidR="00E574F1" w:rsidRDefault="00FA6D18" w:rsidP="00140C8F">
      <w:pPr>
        <w:jc w:val="both"/>
        <w:rPr>
          <w:rFonts w:cstheme="minorHAnsi"/>
        </w:rPr>
      </w:pPr>
      <w:r>
        <w:rPr>
          <w:rFonts w:cstheme="minorHAnsi"/>
        </w:rPr>
        <w:t>The Directive</w:t>
      </w:r>
      <w:r w:rsidR="00E574F1">
        <w:rPr>
          <w:rFonts w:cstheme="minorHAnsi"/>
        </w:rPr>
        <w:t>, which</w:t>
      </w:r>
      <w:r>
        <w:rPr>
          <w:rFonts w:cstheme="minorHAnsi"/>
        </w:rPr>
        <w:t xml:space="preserve"> </w:t>
      </w:r>
      <w:r w:rsidR="00E574F1">
        <w:rPr>
          <w:rFonts w:cstheme="minorHAnsi"/>
        </w:rPr>
        <w:t>r</w:t>
      </w:r>
      <w:r w:rsidR="00DB2FD5" w:rsidRPr="00BA776B">
        <w:rPr>
          <w:rFonts w:cstheme="minorHAnsi"/>
        </w:rPr>
        <w:t xml:space="preserve">equires unanimous approval of Council and consent of </w:t>
      </w:r>
      <w:r w:rsidR="00544A1B">
        <w:rPr>
          <w:rFonts w:cstheme="minorHAnsi"/>
        </w:rPr>
        <w:t xml:space="preserve">the </w:t>
      </w:r>
      <w:r w:rsidR="00DB2FD5" w:rsidRPr="00BA776B">
        <w:rPr>
          <w:rFonts w:cstheme="minorHAnsi"/>
        </w:rPr>
        <w:t>European Parliament</w:t>
      </w:r>
      <w:r w:rsidR="00E574F1">
        <w:rPr>
          <w:rFonts w:cstheme="minorHAnsi"/>
        </w:rPr>
        <w:t>, was i</w:t>
      </w:r>
      <w:r w:rsidR="00DB2FD5" w:rsidRPr="00BA776B">
        <w:rPr>
          <w:rFonts w:cstheme="minorHAnsi"/>
        </w:rPr>
        <w:t xml:space="preserve">ntroduced by the Council </w:t>
      </w:r>
      <w:r w:rsidR="00E574F1">
        <w:rPr>
          <w:rFonts w:cstheme="minorHAnsi"/>
        </w:rPr>
        <w:t xml:space="preserve">in </w:t>
      </w:r>
      <w:r w:rsidR="00DB2FD5" w:rsidRPr="00BA776B">
        <w:rPr>
          <w:rFonts w:cstheme="minorHAnsi"/>
        </w:rPr>
        <w:t>July 2008</w:t>
      </w:r>
      <w:r w:rsidR="00DB2FD5">
        <w:rPr>
          <w:rFonts w:cstheme="minorHAnsi"/>
        </w:rPr>
        <w:t xml:space="preserve"> </w:t>
      </w:r>
      <w:r w:rsidR="00E574F1">
        <w:rPr>
          <w:rFonts w:cstheme="minorHAnsi"/>
        </w:rPr>
        <w:t xml:space="preserve"> and r</w:t>
      </w:r>
      <w:r w:rsidR="00DB2FD5" w:rsidRPr="00BA776B">
        <w:rPr>
          <w:rFonts w:cstheme="minorHAnsi"/>
        </w:rPr>
        <w:t xml:space="preserve">eferred to </w:t>
      </w:r>
      <w:r w:rsidR="00E574F1">
        <w:rPr>
          <w:rFonts w:cstheme="minorHAnsi"/>
        </w:rPr>
        <w:t xml:space="preserve">the </w:t>
      </w:r>
      <w:r w:rsidR="00DB2FD5" w:rsidRPr="00BA776B">
        <w:rPr>
          <w:rFonts w:cstheme="minorHAnsi"/>
        </w:rPr>
        <w:t xml:space="preserve">European Parliament </w:t>
      </w:r>
      <w:r w:rsidR="00E574F1">
        <w:rPr>
          <w:rFonts w:cstheme="minorHAnsi"/>
        </w:rPr>
        <w:t xml:space="preserve">in </w:t>
      </w:r>
      <w:r w:rsidR="00DB2FD5" w:rsidRPr="00BA776B">
        <w:rPr>
          <w:rFonts w:cstheme="minorHAnsi"/>
        </w:rPr>
        <w:t>January 2009</w:t>
      </w:r>
      <w:r w:rsidR="00E574F1">
        <w:rPr>
          <w:rFonts w:cstheme="minorHAnsi"/>
        </w:rPr>
        <w:t>.</w:t>
      </w:r>
      <w:r w:rsidR="00DB2FD5">
        <w:rPr>
          <w:rFonts w:cstheme="minorHAnsi"/>
        </w:rPr>
        <w:t xml:space="preserve"> </w:t>
      </w:r>
      <w:r w:rsidR="00DB2FD5" w:rsidRPr="00BA776B">
        <w:rPr>
          <w:rFonts w:cstheme="minorHAnsi"/>
        </w:rPr>
        <w:t xml:space="preserve">Amendments by European Parliament and Committee on Civil Liberties and Home Affairs </w:t>
      </w:r>
      <w:r w:rsidR="00544A1B">
        <w:rPr>
          <w:rFonts w:cstheme="minorHAnsi"/>
        </w:rPr>
        <w:t xml:space="preserve">were made </w:t>
      </w:r>
      <w:r w:rsidR="00E574F1">
        <w:rPr>
          <w:rFonts w:cstheme="minorHAnsi"/>
        </w:rPr>
        <w:t xml:space="preserve">in </w:t>
      </w:r>
      <w:r w:rsidR="00DB2FD5" w:rsidRPr="00BA776B">
        <w:rPr>
          <w:rFonts w:cstheme="minorHAnsi"/>
        </w:rPr>
        <w:t>March/April 2009</w:t>
      </w:r>
      <w:r w:rsidR="00E574F1">
        <w:rPr>
          <w:rFonts w:cstheme="minorHAnsi"/>
        </w:rPr>
        <w:t>. The process stalled but was r</w:t>
      </w:r>
      <w:r w:rsidR="00DB2FD5" w:rsidRPr="00BA776B">
        <w:rPr>
          <w:rFonts w:cstheme="minorHAnsi"/>
        </w:rPr>
        <w:t xml:space="preserve">estarted </w:t>
      </w:r>
      <w:r w:rsidR="00544A1B">
        <w:rPr>
          <w:rFonts w:cstheme="minorHAnsi"/>
        </w:rPr>
        <w:t xml:space="preserve">in </w:t>
      </w:r>
      <w:r w:rsidR="00DB2FD5" w:rsidRPr="00BA776B">
        <w:rPr>
          <w:rFonts w:cstheme="minorHAnsi"/>
        </w:rPr>
        <w:t>March 2010 by appointment of rapporteur</w:t>
      </w:r>
      <w:r w:rsidR="00E574F1">
        <w:rPr>
          <w:rFonts w:cstheme="minorHAnsi"/>
        </w:rPr>
        <w:t>.</w:t>
      </w:r>
      <w:r w:rsidR="00DB2FD5" w:rsidRPr="00BA776B">
        <w:rPr>
          <w:rFonts w:cstheme="minorHAnsi"/>
        </w:rPr>
        <w:t xml:space="preserve"> </w:t>
      </w:r>
      <w:r w:rsidR="00DB2FD5">
        <w:rPr>
          <w:rFonts w:cstheme="minorHAnsi"/>
        </w:rPr>
        <w:t xml:space="preserve">It has not </w:t>
      </w:r>
      <w:r w:rsidR="00E574F1">
        <w:rPr>
          <w:rFonts w:cstheme="minorHAnsi"/>
        </w:rPr>
        <w:t xml:space="preserve">however since </w:t>
      </w:r>
      <w:r w:rsidR="00DB2FD5">
        <w:rPr>
          <w:rFonts w:cstheme="minorHAnsi"/>
        </w:rPr>
        <w:t>been possible to secure the required unanimity</w:t>
      </w:r>
      <w:r w:rsidR="00E574F1">
        <w:rPr>
          <w:rStyle w:val="FootnoteReference"/>
          <w:rFonts w:cstheme="minorHAnsi"/>
        </w:rPr>
        <w:footnoteReference w:id="22"/>
      </w:r>
      <w:r w:rsidR="00E574F1">
        <w:rPr>
          <w:rFonts w:cstheme="minorHAnsi"/>
        </w:rPr>
        <w:t>.</w:t>
      </w:r>
    </w:p>
    <w:p w:rsidR="00DB2FD5" w:rsidRPr="00BA776B" w:rsidRDefault="00FA6D18" w:rsidP="00140C8F">
      <w:pPr>
        <w:jc w:val="both"/>
        <w:rPr>
          <w:rFonts w:cstheme="minorHAnsi"/>
        </w:rPr>
      </w:pPr>
      <w:r>
        <w:rPr>
          <w:rFonts w:cstheme="minorHAnsi"/>
        </w:rPr>
        <w:t xml:space="preserve">Although </w:t>
      </w:r>
      <w:r w:rsidR="006102E8">
        <w:rPr>
          <w:rFonts w:cstheme="minorHAnsi"/>
        </w:rPr>
        <w:t xml:space="preserve">it is understood that this proposal was again debated in Council on 7 December 2015 and 16 June 2016, and the Directive is stated to be “awaiting final decision”, it is by no means guaranteed that </w:t>
      </w:r>
      <w:r w:rsidR="00176822">
        <w:rPr>
          <w:rFonts w:cstheme="minorHAnsi"/>
        </w:rPr>
        <w:t xml:space="preserve">this </w:t>
      </w:r>
      <w:r w:rsidR="006102E8">
        <w:rPr>
          <w:rFonts w:cstheme="minorHAnsi"/>
        </w:rPr>
        <w:t>Directive will be brought into force. However, w</w:t>
      </w:r>
      <w:r w:rsidR="00DB2FD5">
        <w:rPr>
          <w:rFonts w:cstheme="minorHAnsi"/>
        </w:rPr>
        <w:t xml:space="preserve">ere this to be implemented in its latest draft form into European law, certain (limited) amendments would be required to domestic </w:t>
      </w:r>
      <w:r w:rsidR="00DB2FD5">
        <w:rPr>
          <w:rFonts w:cstheme="minorHAnsi"/>
        </w:rPr>
        <w:lastRenderedPageBreak/>
        <w:t>law, including in particular</w:t>
      </w:r>
      <w:r w:rsidR="00544A1B">
        <w:rPr>
          <w:rFonts w:cstheme="minorHAnsi"/>
        </w:rPr>
        <w:t xml:space="preserve">  stand alone provisions outlaw</w:t>
      </w:r>
      <w:r w:rsidR="00DB2FD5">
        <w:rPr>
          <w:rFonts w:cstheme="minorHAnsi"/>
        </w:rPr>
        <w:t>ing h</w:t>
      </w:r>
      <w:r w:rsidR="00DB2FD5" w:rsidRPr="00BA776B">
        <w:rPr>
          <w:rFonts w:cstheme="minorHAnsi"/>
        </w:rPr>
        <w:t>a</w:t>
      </w:r>
      <w:r w:rsidR="00544A1B">
        <w:rPr>
          <w:rFonts w:cstheme="minorHAnsi"/>
        </w:rPr>
        <w:t xml:space="preserve">rassment for sexual orientation and </w:t>
      </w:r>
      <w:r w:rsidR="00DB2FD5" w:rsidRPr="00BA776B">
        <w:rPr>
          <w:rFonts w:cstheme="minorHAnsi"/>
        </w:rPr>
        <w:t>religion or belief</w:t>
      </w:r>
      <w:r w:rsidR="00DB2FD5">
        <w:rPr>
          <w:rFonts w:cstheme="minorHAnsi"/>
        </w:rPr>
        <w:t>;  provisions outlawing a</w:t>
      </w:r>
      <w:r w:rsidR="00DB2FD5" w:rsidRPr="00BA776B">
        <w:rPr>
          <w:rFonts w:cstheme="minorHAnsi"/>
        </w:rPr>
        <w:t xml:space="preserve">ge </w:t>
      </w:r>
      <w:r w:rsidR="00DB2FD5">
        <w:rPr>
          <w:rFonts w:cstheme="minorHAnsi"/>
        </w:rPr>
        <w:t xml:space="preserve">discrimination in goods and services for under 18s, </w:t>
      </w:r>
      <w:r w:rsidR="00544A1B">
        <w:rPr>
          <w:rFonts w:cstheme="minorHAnsi"/>
        </w:rPr>
        <w:t xml:space="preserve">and </w:t>
      </w:r>
      <w:r w:rsidR="00DB2FD5">
        <w:rPr>
          <w:rFonts w:cstheme="minorHAnsi"/>
        </w:rPr>
        <w:t>provisions outlawing multiple or</w:t>
      </w:r>
      <w:r w:rsidR="00E574F1">
        <w:rPr>
          <w:rFonts w:cstheme="minorHAnsi"/>
        </w:rPr>
        <w:t xml:space="preserve"> intersectional discrimination</w:t>
      </w:r>
      <w:r w:rsidR="00E574F1">
        <w:rPr>
          <w:rStyle w:val="FootnoteReference"/>
          <w:rFonts w:cstheme="minorHAnsi"/>
        </w:rPr>
        <w:footnoteReference w:id="23"/>
      </w:r>
      <w:r w:rsidR="00E574F1">
        <w:rPr>
          <w:rFonts w:cstheme="minorHAnsi"/>
        </w:rPr>
        <w:t xml:space="preserve">. </w:t>
      </w:r>
    </w:p>
    <w:p w:rsidR="00DB2FD5" w:rsidRPr="00BA776B" w:rsidRDefault="00E574F1" w:rsidP="00FA6D18">
      <w:pPr>
        <w:jc w:val="both"/>
        <w:rPr>
          <w:rFonts w:cstheme="minorHAnsi"/>
        </w:rPr>
      </w:pPr>
      <w:r>
        <w:rPr>
          <w:rFonts w:cstheme="minorHAnsi"/>
          <w:lang w:val="en-US"/>
        </w:rPr>
        <w:t>Also in 2008, a</w:t>
      </w:r>
      <w:r w:rsidR="00DB2FD5">
        <w:rPr>
          <w:rFonts w:cstheme="minorHAnsi"/>
          <w:lang w:val="en-US"/>
        </w:rPr>
        <w:t xml:space="preserve">mendments were proposed by the </w:t>
      </w:r>
      <w:r>
        <w:rPr>
          <w:rFonts w:cstheme="minorHAnsi"/>
          <w:lang w:val="en-US"/>
        </w:rPr>
        <w:t>Commission to the Pregnant Workers Directive</w:t>
      </w:r>
      <w:r w:rsidR="00FA6D18">
        <w:rPr>
          <w:rFonts w:cstheme="minorHAnsi"/>
          <w:lang w:val="en-US"/>
        </w:rPr>
        <w:t xml:space="preserve">, </w:t>
      </w:r>
      <w:r w:rsidR="00145F39">
        <w:rPr>
          <w:rFonts w:cstheme="minorHAnsi"/>
          <w:lang w:val="en-US"/>
        </w:rPr>
        <w:t>including a</w:t>
      </w:r>
      <w:r w:rsidR="00FA6D18">
        <w:rPr>
          <w:rFonts w:cstheme="minorHAnsi"/>
          <w:lang w:val="en-US"/>
        </w:rPr>
        <w:t xml:space="preserve"> p</w:t>
      </w:r>
      <w:r w:rsidR="00DB2FD5" w:rsidRPr="00BA776B">
        <w:rPr>
          <w:rFonts w:cstheme="minorHAnsi"/>
          <w:lang w:val="en-US"/>
        </w:rPr>
        <w:t>roposed extension o</w:t>
      </w:r>
      <w:r w:rsidR="00544A1B">
        <w:rPr>
          <w:rFonts w:cstheme="minorHAnsi"/>
          <w:lang w:val="en-US"/>
        </w:rPr>
        <w:t>f paid maternity leave from 14 to</w:t>
      </w:r>
      <w:r w:rsidR="00DB2FD5" w:rsidRPr="00BA776B">
        <w:rPr>
          <w:rFonts w:cstheme="minorHAnsi"/>
          <w:lang w:val="en-US"/>
        </w:rPr>
        <w:t xml:space="preserve"> 18 weeks, in line with </w:t>
      </w:r>
      <w:r w:rsidR="00544A1B">
        <w:rPr>
          <w:rFonts w:cstheme="minorHAnsi"/>
          <w:lang w:val="en-US"/>
        </w:rPr>
        <w:t xml:space="preserve">the </w:t>
      </w:r>
      <w:r w:rsidR="00DB2FD5" w:rsidRPr="00BA776B">
        <w:rPr>
          <w:rFonts w:cstheme="minorHAnsi"/>
          <w:lang w:val="en-US"/>
        </w:rPr>
        <w:t>ILO</w:t>
      </w:r>
      <w:r w:rsidR="00544A1B">
        <w:rPr>
          <w:rFonts w:cstheme="minorHAnsi"/>
          <w:lang w:val="en-US"/>
        </w:rPr>
        <w:t xml:space="preserve"> provisions</w:t>
      </w:r>
      <w:r w:rsidR="00DB2FD5" w:rsidRPr="00BA776B">
        <w:rPr>
          <w:rFonts w:cstheme="minorHAnsi"/>
          <w:lang w:val="en-US"/>
        </w:rPr>
        <w:t xml:space="preserve">, but with </w:t>
      </w:r>
      <w:r>
        <w:rPr>
          <w:rFonts w:cstheme="minorHAnsi"/>
          <w:lang w:val="en-US"/>
        </w:rPr>
        <w:t xml:space="preserve">a </w:t>
      </w:r>
      <w:r w:rsidR="00DB2FD5" w:rsidRPr="00BA776B">
        <w:rPr>
          <w:rFonts w:cstheme="minorHAnsi"/>
          <w:lang w:val="en-US"/>
        </w:rPr>
        <w:t xml:space="preserve">ceiling and </w:t>
      </w:r>
      <w:r>
        <w:rPr>
          <w:rFonts w:cstheme="minorHAnsi"/>
          <w:lang w:val="en-US"/>
        </w:rPr>
        <w:t xml:space="preserve">a </w:t>
      </w:r>
      <w:r w:rsidR="00DB2FD5" w:rsidRPr="00BA776B">
        <w:rPr>
          <w:rFonts w:cstheme="minorHAnsi"/>
          <w:lang w:val="en-US"/>
        </w:rPr>
        <w:t>minimum</w:t>
      </w:r>
      <w:r>
        <w:rPr>
          <w:rFonts w:cstheme="minorHAnsi"/>
          <w:lang w:val="en-US"/>
        </w:rPr>
        <w:t xml:space="preserve">. On </w:t>
      </w:r>
      <w:r w:rsidR="00DB2FD5" w:rsidRPr="00BA776B">
        <w:rPr>
          <w:rFonts w:cstheme="minorHAnsi"/>
          <w:lang w:val="en-US"/>
        </w:rPr>
        <w:t xml:space="preserve">20 October </w:t>
      </w:r>
      <w:r w:rsidR="00FA6D18">
        <w:rPr>
          <w:rFonts w:cstheme="minorHAnsi"/>
          <w:lang w:val="en-US"/>
        </w:rPr>
        <w:t>2012</w:t>
      </w:r>
      <w:r>
        <w:rPr>
          <w:rFonts w:cstheme="minorHAnsi"/>
          <w:lang w:val="en-US"/>
        </w:rPr>
        <w:t>, the European Parliament voted</w:t>
      </w:r>
      <w:r w:rsidR="00FA6D18">
        <w:rPr>
          <w:rFonts w:cstheme="minorHAnsi"/>
          <w:lang w:val="en-US"/>
        </w:rPr>
        <w:t xml:space="preserve"> </w:t>
      </w:r>
      <w:r w:rsidR="00DB2FD5" w:rsidRPr="00BA776B">
        <w:rPr>
          <w:rFonts w:cstheme="minorHAnsi"/>
          <w:lang w:val="en-US"/>
        </w:rPr>
        <w:t>to extend</w:t>
      </w:r>
      <w:r>
        <w:rPr>
          <w:rFonts w:cstheme="minorHAnsi"/>
          <w:lang w:val="en-US"/>
        </w:rPr>
        <w:t xml:space="preserve"> it to 20 weeks with </w:t>
      </w:r>
      <w:r w:rsidR="00DB2FD5" w:rsidRPr="00BA776B">
        <w:rPr>
          <w:rFonts w:cstheme="minorHAnsi"/>
          <w:lang w:val="en-US"/>
        </w:rPr>
        <w:t>6 weeks compulsory leave</w:t>
      </w:r>
      <w:r w:rsidR="00FA6D18">
        <w:rPr>
          <w:rFonts w:cstheme="minorHAnsi"/>
          <w:lang w:val="en-US"/>
        </w:rPr>
        <w:t xml:space="preserve">. </w:t>
      </w:r>
      <w:r w:rsidR="006102E8">
        <w:rPr>
          <w:rFonts w:cstheme="minorHAnsi"/>
          <w:lang w:val="en-US"/>
        </w:rPr>
        <w:t xml:space="preserve">According to the Commission Work </w:t>
      </w:r>
      <w:proofErr w:type="spellStart"/>
      <w:r w:rsidR="006102E8">
        <w:rPr>
          <w:rFonts w:cstheme="minorHAnsi"/>
          <w:lang w:val="en-US"/>
        </w:rPr>
        <w:t>Programme</w:t>
      </w:r>
      <w:proofErr w:type="spellEnd"/>
      <w:r w:rsidR="006102E8">
        <w:rPr>
          <w:rFonts w:cstheme="minorHAnsi"/>
          <w:lang w:val="en-US"/>
        </w:rPr>
        <w:t xml:space="preserve"> 2015, Annex II, at 58, this has been withdrawn. </w:t>
      </w:r>
      <w:r>
        <w:rPr>
          <w:rFonts w:cstheme="minorHAnsi"/>
          <w:lang w:val="en-US"/>
        </w:rPr>
        <w:t xml:space="preserve"> </w:t>
      </w:r>
    </w:p>
    <w:p w:rsidR="00FD5AA0" w:rsidRDefault="00FA6D18" w:rsidP="00FA6D18">
      <w:pPr>
        <w:jc w:val="both"/>
        <w:rPr>
          <w:rFonts w:cstheme="minorHAnsi"/>
        </w:rPr>
      </w:pPr>
      <w:r>
        <w:rPr>
          <w:rFonts w:cstheme="minorHAnsi"/>
        </w:rPr>
        <w:t xml:space="preserve">In contrast, agreement was reached on a </w:t>
      </w:r>
      <w:proofErr w:type="gramStart"/>
      <w:r w:rsidR="00DB2FD5" w:rsidRPr="00BA776B">
        <w:rPr>
          <w:rFonts w:cstheme="minorHAnsi"/>
        </w:rPr>
        <w:t>Revised</w:t>
      </w:r>
      <w:proofErr w:type="gramEnd"/>
      <w:r w:rsidR="00DB2FD5" w:rsidRPr="00BA776B">
        <w:rPr>
          <w:rFonts w:cstheme="minorHAnsi"/>
        </w:rPr>
        <w:t xml:space="preserve"> framework agreement on Parental Leave</w:t>
      </w:r>
      <w:r w:rsidR="00544A1B">
        <w:rPr>
          <w:rStyle w:val="FootnoteReference"/>
          <w:rFonts w:cstheme="minorHAnsi"/>
        </w:rPr>
        <w:footnoteReference w:id="24"/>
      </w:r>
      <w:r w:rsidR="00544A1B">
        <w:rPr>
          <w:rFonts w:cstheme="minorHAnsi"/>
        </w:rPr>
        <w:t xml:space="preserve"> </w:t>
      </w:r>
      <w:r>
        <w:rPr>
          <w:rFonts w:cstheme="minorHAnsi"/>
        </w:rPr>
        <w:t>which was i</w:t>
      </w:r>
      <w:r w:rsidR="00DB2FD5" w:rsidRPr="00BA776B">
        <w:rPr>
          <w:rFonts w:cstheme="minorHAnsi"/>
        </w:rPr>
        <w:t>mplemented by the Parental Leave (European Directive) Regulations 2013</w:t>
      </w:r>
      <w:r>
        <w:rPr>
          <w:rFonts w:cstheme="minorHAnsi"/>
        </w:rPr>
        <w:t>, e</w:t>
      </w:r>
      <w:r w:rsidR="00DB2FD5" w:rsidRPr="00BA776B">
        <w:rPr>
          <w:rFonts w:cstheme="minorHAnsi"/>
        </w:rPr>
        <w:t xml:space="preserve">xtending </w:t>
      </w:r>
      <w:r w:rsidR="00544A1B">
        <w:rPr>
          <w:rFonts w:cstheme="minorHAnsi"/>
        </w:rPr>
        <w:t xml:space="preserve">parental leave </w:t>
      </w:r>
      <w:r w:rsidR="00DB2FD5" w:rsidRPr="00BA776B">
        <w:rPr>
          <w:rFonts w:cstheme="minorHAnsi"/>
        </w:rPr>
        <w:t>from 13 to 18 weeks</w:t>
      </w:r>
      <w:r>
        <w:rPr>
          <w:rFonts w:cstheme="minorHAnsi"/>
        </w:rPr>
        <w:t xml:space="preserve"> and g</w:t>
      </w:r>
      <w:r w:rsidR="00DB2FD5" w:rsidRPr="00BA776B">
        <w:rPr>
          <w:rFonts w:cstheme="minorHAnsi"/>
        </w:rPr>
        <w:t>iving agency workers right to request flexible working after parental leave</w:t>
      </w:r>
      <w:r>
        <w:rPr>
          <w:rFonts w:cstheme="minorHAnsi"/>
        </w:rPr>
        <w:t>.</w:t>
      </w:r>
      <w:r w:rsidR="006102E8">
        <w:rPr>
          <w:rFonts w:cstheme="minorHAnsi"/>
        </w:rPr>
        <w:t xml:space="preserve"> Further developments might be anticipated in that areas given </w:t>
      </w:r>
      <w:r w:rsidR="00A40CB4">
        <w:rPr>
          <w:rFonts w:cstheme="minorHAnsi"/>
        </w:rPr>
        <w:t>the Consultation on addressing challenges of parents and carers dated 11 November 2015</w:t>
      </w:r>
      <w:r w:rsidR="00A40CB4">
        <w:rPr>
          <w:rStyle w:val="FootnoteReference"/>
          <w:rFonts w:cstheme="minorHAnsi"/>
        </w:rPr>
        <w:footnoteReference w:id="25"/>
      </w:r>
      <w:r w:rsidR="00FD5AA0">
        <w:rPr>
          <w:rFonts w:cstheme="minorHAnsi"/>
        </w:rPr>
        <w:t>.</w:t>
      </w:r>
    </w:p>
    <w:p w:rsidR="00FD5AA0" w:rsidRDefault="00FD5AA0" w:rsidP="00FA6D18">
      <w:pPr>
        <w:jc w:val="both"/>
        <w:rPr>
          <w:rFonts w:cstheme="minorHAnsi"/>
        </w:rPr>
      </w:pPr>
      <w:r>
        <w:rPr>
          <w:rFonts w:cstheme="minorHAnsi"/>
        </w:rPr>
        <w:t>There is also a proposal for a Directive of the European Parliament and Council on improving the gender balance among non-executive directors of companies listed on stock exchanges</w:t>
      </w:r>
      <w:r>
        <w:rPr>
          <w:rStyle w:val="FootnoteReference"/>
          <w:rFonts w:cstheme="minorHAnsi"/>
        </w:rPr>
        <w:footnoteReference w:id="26"/>
      </w:r>
      <w:r>
        <w:rPr>
          <w:rFonts w:cstheme="minorHAnsi"/>
        </w:rPr>
        <w:t>, which is backed by the European Parliament, and although introduced in 2012, is apparently still being discussed by Council.</w:t>
      </w:r>
    </w:p>
    <w:p w:rsidR="00A40CB4" w:rsidRDefault="00FD5AA0" w:rsidP="00FA6D18">
      <w:pPr>
        <w:jc w:val="both"/>
        <w:rPr>
          <w:rFonts w:cstheme="minorHAnsi"/>
        </w:rPr>
      </w:pPr>
      <w:r>
        <w:rPr>
          <w:rFonts w:cstheme="minorHAnsi"/>
        </w:rPr>
        <w:t>Most recently, t</w:t>
      </w:r>
      <w:r w:rsidR="00A40CB4">
        <w:rPr>
          <w:rFonts w:cstheme="minorHAnsi"/>
        </w:rPr>
        <w:t>here is also a proposal for a draft Directive on accessibility requirements for products and services, seeking to ensure that products and services are accessible to disabled people, dated 2 December 2015</w:t>
      </w:r>
      <w:r w:rsidR="00A40CB4">
        <w:rPr>
          <w:rStyle w:val="FootnoteReference"/>
          <w:rFonts w:cstheme="minorHAnsi"/>
        </w:rPr>
        <w:footnoteReference w:id="27"/>
      </w:r>
      <w:r w:rsidR="00A40CB4">
        <w:rPr>
          <w:rFonts w:cstheme="minorHAnsi"/>
        </w:rPr>
        <w:t>.</w:t>
      </w:r>
    </w:p>
    <w:p w:rsidR="00E574F1" w:rsidRDefault="00176822" w:rsidP="00FA6D18">
      <w:pPr>
        <w:jc w:val="both"/>
        <w:rPr>
          <w:rFonts w:cstheme="minorHAnsi"/>
        </w:rPr>
      </w:pPr>
      <w:r>
        <w:rPr>
          <w:rFonts w:cstheme="minorHAnsi"/>
        </w:rPr>
        <w:t>G</w:t>
      </w:r>
      <w:r w:rsidR="00E574F1">
        <w:rPr>
          <w:rFonts w:cstheme="minorHAnsi"/>
        </w:rPr>
        <w:t>iven other pressures on the EU, not least Brexit and the migrant/Schengen crisi</w:t>
      </w:r>
      <w:r w:rsidR="00544A1B">
        <w:rPr>
          <w:rFonts w:cstheme="minorHAnsi"/>
        </w:rPr>
        <w:t>s</w:t>
      </w:r>
      <w:r w:rsidR="00E574F1">
        <w:rPr>
          <w:rFonts w:cstheme="minorHAnsi"/>
        </w:rPr>
        <w:t xml:space="preserve">, it would seem unlikely that further </w:t>
      </w:r>
      <w:r w:rsidR="00FD5AA0">
        <w:rPr>
          <w:rFonts w:cstheme="minorHAnsi"/>
        </w:rPr>
        <w:t xml:space="preserve">immediate </w:t>
      </w:r>
      <w:r w:rsidR="00E574F1">
        <w:rPr>
          <w:rFonts w:cstheme="minorHAnsi"/>
        </w:rPr>
        <w:t>developments in this area can be anticipated.</w:t>
      </w:r>
    </w:p>
    <w:p w:rsidR="00237BB8" w:rsidRPr="00E574F1" w:rsidRDefault="001F127F" w:rsidP="004B0437">
      <w:pPr>
        <w:jc w:val="both"/>
        <w:rPr>
          <w:rFonts w:cstheme="minorHAnsi"/>
          <w:b/>
        </w:rPr>
      </w:pPr>
      <w:r>
        <w:rPr>
          <w:rFonts w:cstheme="minorHAnsi"/>
          <w:b/>
        </w:rPr>
        <w:t xml:space="preserve">Responsibilities: </w:t>
      </w:r>
      <w:r w:rsidR="00E70C10">
        <w:rPr>
          <w:rFonts w:cstheme="minorHAnsi"/>
          <w:b/>
        </w:rPr>
        <w:t>the powers of the Scottish Parliament in respect of equality laws</w:t>
      </w:r>
      <w:r w:rsidR="00E574F1">
        <w:rPr>
          <w:rStyle w:val="FootnoteReference"/>
          <w:rFonts w:cstheme="minorHAnsi"/>
          <w:b/>
        </w:rPr>
        <w:footnoteReference w:id="28"/>
      </w:r>
    </w:p>
    <w:p w:rsidR="00E574F1" w:rsidRDefault="00237BB8" w:rsidP="00140C8F">
      <w:pPr>
        <w:tabs>
          <w:tab w:val="left" w:pos="2880"/>
        </w:tabs>
        <w:jc w:val="both"/>
        <w:rPr>
          <w:rFonts w:cstheme="minorHAnsi"/>
        </w:rPr>
      </w:pPr>
      <w:r>
        <w:rPr>
          <w:rFonts w:cstheme="minorHAnsi"/>
        </w:rPr>
        <w:t>Equality law, with very limited exceptions in respect of equal opportunities, is currently reserved.</w:t>
      </w:r>
      <w:r w:rsidR="004B4F36">
        <w:rPr>
          <w:rFonts w:cstheme="minorHAnsi"/>
        </w:rPr>
        <w:t xml:space="preserve"> </w:t>
      </w:r>
      <w:r w:rsidR="00FF42DF">
        <w:rPr>
          <w:rFonts w:cstheme="minorHAnsi"/>
        </w:rPr>
        <w:t>As originally enacted, these exceptions extend</w:t>
      </w:r>
      <w:r w:rsidR="0062012D">
        <w:rPr>
          <w:rFonts w:cstheme="minorHAnsi"/>
        </w:rPr>
        <w:t>ed</w:t>
      </w:r>
      <w:r w:rsidR="00FF42DF">
        <w:rPr>
          <w:rFonts w:cstheme="minorHAnsi"/>
        </w:rPr>
        <w:t xml:space="preserve"> to give the </w:t>
      </w:r>
      <w:r w:rsidR="008B4E70">
        <w:rPr>
          <w:rFonts w:cstheme="minorHAnsi"/>
        </w:rPr>
        <w:t xml:space="preserve">Scottish Parliament the </w:t>
      </w:r>
      <w:r w:rsidR="00FF42DF">
        <w:rPr>
          <w:rFonts w:cstheme="minorHAnsi"/>
        </w:rPr>
        <w:t>power</w:t>
      </w:r>
      <w:r w:rsidR="00E574F1">
        <w:rPr>
          <w:rFonts w:cstheme="minorHAnsi"/>
        </w:rPr>
        <w:t>:</w:t>
      </w:r>
    </w:p>
    <w:p w:rsidR="00E574F1" w:rsidRDefault="00FF42DF" w:rsidP="00E574F1">
      <w:pPr>
        <w:pStyle w:val="ListParagraph"/>
        <w:numPr>
          <w:ilvl w:val="0"/>
          <w:numId w:val="28"/>
        </w:numPr>
        <w:tabs>
          <w:tab w:val="left" w:pos="2880"/>
        </w:tabs>
        <w:jc w:val="both"/>
        <w:rPr>
          <w:rFonts w:cstheme="minorHAnsi"/>
        </w:rPr>
      </w:pPr>
      <w:r w:rsidRPr="00E574F1">
        <w:rPr>
          <w:rFonts w:cstheme="minorHAnsi"/>
        </w:rPr>
        <w:t>to encourage equal opportunities and compliance with equal opportunities legislation, except where this involved prohibition or regulation</w:t>
      </w:r>
      <w:r w:rsidR="008B4E70" w:rsidRPr="00E574F1">
        <w:rPr>
          <w:rFonts w:cstheme="minorHAnsi"/>
        </w:rPr>
        <w:t xml:space="preserve">, and </w:t>
      </w:r>
    </w:p>
    <w:p w:rsidR="00E574F1" w:rsidRDefault="008B4E70" w:rsidP="00E574F1">
      <w:pPr>
        <w:pStyle w:val="ListParagraph"/>
        <w:numPr>
          <w:ilvl w:val="0"/>
          <w:numId w:val="28"/>
        </w:numPr>
        <w:tabs>
          <w:tab w:val="left" w:pos="2880"/>
        </w:tabs>
        <w:jc w:val="both"/>
        <w:rPr>
          <w:rFonts w:cstheme="minorHAnsi"/>
        </w:rPr>
      </w:pPr>
      <w:r w:rsidRPr="00E574F1">
        <w:rPr>
          <w:rFonts w:cstheme="minorHAnsi"/>
        </w:rPr>
        <w:t xml:space="preserve">to impose duties on Scottish public authorities to perform functions in a way which pays due regard to meet the requirements of the laws relating to equal opportunities. </w:t>
      </w:r>
    </w:p>
    <w:p w:rsidR="00237BB8" w:rsidRPr="00E574F1" w:rsidRDefault="008B4E70" w:rsidP="00E574F1">
      <w:pPr>
        <w:tabs>
          <w:tab w:val="left" w:pos="2880"/>
        </w:tabs>
        <w:jc w:val="both"/>
        <w:rPr>
          <w:rFonts w:cstheme="minorHAnsi"/>
        </w:rPr>
      </w:pPr>
      <w:r w:rsidRPr="00E574F1">
        <w:rPr>
          <w:rFonts w:cstheme="minorHAnsi"/>
        </w:rPr>
        <w:t xml:space="preserve">For the purposes of this provision, “equal </w:t>
      </w:r>
      <w:r w:rsidR="00145F39" w:rsidRPr="00E574F1">
        <w:rPr>
          <w:rFonts w:cstheme="minorHAnsi"/>
        </w:rPr>
        <w:t>opportunities</w:t>
      </w:r>
      <w:r w:rsidRPr="00E574F1">
        <w:rPr>
          <w:rFonts w:cstheme="minorHAnsi"/>
        </w:rPr>
        <w:t xml:space="preserve">” is defined to include language and social origin or other social attributes, as well as sex, </w:t>
      </w:r>
      <w:r w:rsidR="00145F39" w:rsidRPr="00E574F1">
        <w:rPr>
          <w:rFonts w:cstheme="minorHAnsi"/>
        </w:rPr>
        <w:t>marital</w:t>
      </w:r>
      <w:r w:rsidRPr="00E574F1">
        <w:rPr>
          <w:rFonts w:cstheme="minorHAnsi"/>
        </w:rPr>
        <w:t xml:space="preserve"> status, race, disability, age, sexual orientation and religion or other political opinions. </w:t>
      </w:r>
    </w:p>
    <w:p w:rsidR="004D0A7C" w:rsidRDefault="008B4E70" w:rsidP="00140C8F">
      <w:pPr>
        <w:tabs>
          <w:tab w:val="left" w:pos="2880"/>
        </w:tabs>
        <w:jc w:val="both"/>
        <w:rPr>
          <w:rFonts w:cstheme="minorHAnsi"/>
        </w:rPr>
      </w:pPr>
      <w:r>
        <w:rPr>
          <w:rFonts w:cstheme="minorHAnsi"/>
        </w:rPr>
        <w:lastRenderedPageBreak/>
        <w:t xml:space="preserve">The scope of the exceptions has been expanded by the Scotland Act </w:t>
      </w:r>
      <w:proofErr w:type="gramStart"/>
      <w:r>
        <w:rPr>
          <w:rFonts w:cstheme="minorHAnsi"/>
        </w:rPr>
        <w:t>2016, that</w:t>
      </w:r>
      <w:proofErr w:type="gramEnd"/>
      <w:r>
        <w:rPr>
          <w:rFonts w:cstheme="minorHAnsi"/>
        </w:rPr>
        <w:t xml:space="preserve"> is the power of the Scottish Parliament to legislate in this area has extended </w:t>
      </w:r>
      <w:r w:rsidR="00B615DC">
        <w:rPr>
          <w:rFonts w:cstheme="minorHAnsi"/>
        </w:rPr>
        <w:t>in respect of public sector bodies in Scotland</w:t>
      </w:r>
      <w:r w:rsidR="004D0A7C">
        <w:rPr>
          <w:rFonts w:cstheme="minorHAnsi"/>
        </w:rPr>
        <w:t>.</w:t>
      </w:r>
    </w:p>
    <w:p w:rsidR="004D0A7C" w:rsidRDefault="004D0A7C" w:rsidP="004D0A7C">
      <w:pPr>
        <w:tabs>
          <w:tab w:val="left" w:pos="2880"/>
        </w:tabs>
        <w:jc w:val="both"/>
        <w:rPr>
          <w:rFonts w:cstheme="minorHAnsi"/>
        </w:rPr>
      </w:pPr>
      <w:r>
        <w:rPr>
          <w:rFonts w:cstheme="minorHAnsi"/>
        </w:rPr>
        <w:t>In particular</w:t>
      </w:r>
      <w:r w:rsidR="00B615DC">
        <w:rPr>
          <w:rFonts w:cstheme="minorHAnsi"/>
        </w:rPr>
        <w:t xml:space="preserve"> </w:t>
      </w:r>
      <w:r>
        <w:rPr>
          <w:rFonts w:cstheme="minorHAnsi"/>
        </w:rPr>
        <w:t xml:space="preserve">that </w:t>
      </w:r>
      <w:r w:rsidR="008B4E70">
        <w:rPr>
          <w:rFonts w:cstheme="minorHAnsi"/>
        </w:rPr>
        <w:t>include</w:t>
      </w:r>
      <w:r>
        <w:rPr>
          <w:rFonts w:cstheme="minorHAnsi"/>
        </w:rPr>
        <w:t xml:space="preserve">s powers in relation </w:t>
      </w:r>
      <w:r w:rsidR="008B4E70">
        <w:rPr>
          <w:rFonts w:cstheme="minorHAnsi"/>
        </w:rPr>
        <w:t>to non-executive appointments to the boards of Scottish public authorities</w:t>
      </w:r>
      <w:r>
        <w:rPr>
          <w:rFonts w:cstheme="minorHAnsi"/>
        </w:rPr>
        <w:t>. On the strength of these provisions, t</w:t>
      </w:r>
      <w:r>
        <w:t xml:space="preserve">he Government has recently launched a consultation on a draft Gender </w:t>
      </w:r>
      <w:proofErr w:type="spellStart"/>
      <w:r>
        <w:t>Reprepresentation</w:t>
      </w:r>
      <w:proofErr w:type="spellEnd"/>
      <w:r>
        <w:t xml:space="preserve"> on Public Boards (Scotland) Bill, available at </w:t>
      </w:r>
      <w:hyperlink r:id="rId8" w:history="1">
        <w:r w:rsidRPr="00217AA3">
          <w:rPr>
            <w:rStyle w:val="Hyperlink"/>
          </w:rPr>
          <w:t>http://www.gov.scot/Publications/2017/01/2526/337120</w:t>
        </w:r>
      </w:hyperlink>
      <w:r>
        <w:t>. That Bill has been drafted to ensure that the law remains within the requirements and limitations of European law</w:t>
      </w:r>
      <w:r w:rsidR="00D5123A">
        <w:t xml:space="preserve">. </w:t>
      </w:r>
      <w:r>
        <w:t xml:space="preserve"> </w:t>
      </w:r>
      <w:r w:rsidR="00E758D1">
        <w:t xml:space="preserve">However, absent the constraints of European law, it may actually be possible </w:t>
      </w:r>
      <w:r>
        <w:rPr>
          <w:rFonts w:cstheme="minorHAnsi"/>
        </w:rPr>
        <w:t>to extend the scope of th</w:t>
      </w:r>
      <w:r w:rsidR="00E758D1">
        <w:rPr>
          <w:rFonts w:cstheme="minorHAnsi"/>
        </w:rPr>
        <w:t>ese proposals and other</w:t>
      </w:r>
      <w:r>
        <w:rPr>
          <w:rFonts w:cstheme="minorHAnsi"/>
        </w:rPr>
        <w:t xml:space="preserve"> positive action provisions, allowing for special measures to address historical disadvantage and under-representation</w:t>
      </w:r>
      <w:r w:rsidR="00E758D1">
        <w:rPr>
          <w:rFonts w:cstheme="minorHAnsi"/>
        </w:rPr>
        <w:t xml:space="preserve">. </w:t>
      </w:r>
    </w:p>
    <w:p w:rsidR="008B4E70" w:rsidRPr="008B4E70" w:rsidRDefault="004D0A7C" w:rsidP="004D0A7C">
      <w:pPr>
        <w:tabs>
          <w:tab w:val="left" w:pos="2880"/>
        </w:tabs>
        <w:jc w:val="both"/>
        <w:rPr>
          <w:rFonts w:cstheme="minorHAnsi"/>
        </w:rPr>
      </w:pPr>
      <w:r>
        <w:rPr>
          <w:rFonts w:cstheme="minorHAnsi"/>
        </w:rPr>
        <w:t xml:space="preserve">A further more general exception will allow </w:t>
      </w:r>
      <w:r w:rsidR="008B4E70" w:rsidRPr="004D0A7C">
        <w:rPr>
          <w:rFonts w:cstheme="minorHAnsi"/>
        </w:rPr>
        <w:t xml:space="preserve">Scottish public </w:t>
      </w:r>
      <w:r w:rsidR="00145F39" w:rsidRPr="004D0A7C">
        <w:rPr>
          <w:rFonts w:cstheme="minorHAnsi"/>
        </w:rPr>
        <w:t>authorities</w:t>
      </w:r>
      <w:r w:rsidR="008B4E70" w:rsidRPr="004D0A7C">
        <w:rPr>
          <w:rFonts w:cstheme="minorHAnsi"/>
        </w:rPr>
        <w:t xml:space="preserve"> to introduce protections and requirements </w:t>
      </w:r>
      <w:r>
        <w:rPr>
          <w:rFonts w:cstheme="minorHAnsi"/>
        </w:rPr>
        <w:t xml:space="preserve">in respect of Scottish public authorities </w:t>
      </w:r>
      <w:r w:rsidR="008B4E70" w:rsidRPr="004D0A7C">
        <w:rPr>
          <w:rFonts w:cstheme="minorHAnsi"/>
        </w:rPr>
        <w:t xml:space="preserve">that supplement but do not </w:t>
      </w:r>
      <w:r w:rsidR="00145F39" w:rsidRPr="004D0A7C">
        <w:rPr>
          <w:rFonts w:cstheme="minorHAnsi"/>
        </w:rPr>
        <w:t>modify</w:t>
      </w:r>
      <w:r w:rsidR="008B4E70" w:rsidRPr="004D0A7C">
        <w:rPr>
          <w:rFonts w:cstheme="minorHAnsi"/>
        </w:rPr>
        <w:t xml:space="preserve"> the existing provisions of the Equality Acts</w:t>
      </w:r>
      <w:r>
        <w:rPr>
          <w:rFonts w:cstheme="minorHAnsi"/>
        </w:rPr>
        <w:t>. It also apparently allows the Scottish Parliament to r</w:t>
      </w:r>
      <w:r w:rsidR="008B4E70">
        <w:rPr>
          <w:rFonts w:cstheme="minorHAnsi"/>
        </w:rPr>
        <w:t>eplicate or apply to new legislation implemented under these provisions any par</w:t>
      </w:r>
      <w:r w:rsidR="00B615DC">
        <w:rPr>
          <w:rFonts w:cstheme="minorHAnsi"/>
        </w:rPr>
        <w:t xml:space="preserve">t of parts of the Equality Acts, provided that this does not affect how these provisions currently operate. </w:t>
      </w:r>
    </w:p>
    <w:p w:rsidR="004D0A7C" w:rsidRDefault="00B615DC" w:rsidP="00140C8F">
      <w:pPr>
        <w:tabs>
          <w:tab w:val="left" w:pos="2880"/>
        </w:tabs>
        <w:jc w:val="both"/>
        <w:rPr>
          <w:rFonts w:cstheme="minorHAnsi"/>
        </w:rPr>
      </w:pPr>
      <w:r>
        <w:rPr>
          <w:rFonts w:cstheme="minorHAnsi"/>
        </w:rPr>
        <w:t>This is intended to give the Scottish Parliament the power to add to and supplement the Equalit</w:t>
      </w:r>
      <w:r w:rsidR="001F127F">
        <w:rPr>
          <w:rFonts w:cstheme="minorHAnsi"/>
        </w:rPr>
        <w:t>y Act 2010</w:t>
      </w:r>
      <w:r w:rsidR="00E70C10">
        <w:rPr>
          <w:rFonts w:cstheme="minorHAnsi"/>
        </w:rPr>
        <w:t>. Thus there is now some further scope for the Scottish Parliament to legislate in this area</w:t>
      </w:r>
      <w:r w:rsidR="001F127F">
        <w:rPr>
          <w:rFonts w:cstheme="minorHAnsi"/>
        </w:rPr>
        <w:t xml:space="preserve">, although its scope and reach is not </w:t>
      </w:r>
      <w:r w:rsidR="00E70C10">
        <w:rPr>
          <w:rFonts w:cstheme="minorHAnsi"/>
        </w:rPr>
        <w:t xml:space="preserve">currently </w:t>
      </w:r>
      <w:r w:rsidR="001F127F">
        <w:rPr>
          <w:rFonts w:cstheme="minorHAnsi"/>
        </w:rPr>
        <w:t>clear.</w:t>
      </w:r>
      <w:r w:rsidR="00E70C10">
        <w:rPr>
          <w:rFonts w:cstheme="minorHAnsi"/>
        </w:rPr>
        <w:t xml:space="preserve"> More extensive </w:t>
      </w:r>
      <w:r w:rsidR="004D0A7C">
        <w:rPr>
          <w:rFonts w:cstheme="minorHAnsi"/>
        </w:rPr>
        <w:t>amendment would require e</w:t>
      </w:r>
      <w:r w:rsidR="00237BB8">
        <w:rPr>
          <w:rFonts w:cstheme="minorHAnsi"/>
        </w:rPr>
        <w:t xml:space="preserve">quality and </w:t>
      </w:r>
      <w:r w:rsidR="00E758D1">
        <w:rPr>
          <w:rFonts w:cstheme="minorHAnsi"/>
        </w:rPr>
        <w:t xml:space="preserve">indeed </w:t>
      </w:r>
      <w:r w:rsidR="00237BB8">
        <w:rPr>
          <w:rFonts w:cstheme="minorHAnsi"/>
        </w:rPr>
        <w:t xml:space="preserve">employment law </w:t>
      </w:r>
      <w:r w:rsidR="004D0A7C">
        <w:rPr>
          <w:rFonts w:cstheme="minorHAnsi"/>
        </w:rPr>
        <w:t>to be devolved or at least certain aspects further devolved.</w:t>
      </w:r>
    </w:p>
    <w:p w:rsidR="00FF42DF" w:rsidRDefault="00E758D1" w:rsidP="00FF42DF">
      <w:pPr>
        <w:tabs>
          <w:tab w:val="left" w:pos="2880"/>
        </w:tabs>
        <w:jc w:val="both"/>
      </w:pPr>
      <w:r>
        <w:t>Further devolution could potentially permit</w:t>
      </w:r>
      <w:r w:rsidR="00FF42DF">
        <w:t>:</w:t>
      </w:r>
    </w:p>
    <w:p w:rsidR="00FF42DF" w:rsidRDefault="00B1520A" w:rsidP="00FF42DF">
      <w:pPr>
        <w:pStyle w:val="ListParagraph"/>
        <w:numPr>
          <w:ilvl w:val="0"/>
          <w:numId w:val="25"/>
        </w:numPr>
        <w:tabs>
          <w:tab w:val="left" w:pos="2880"/>
        </w:tabs>
        <w:jc w:val="both"/>
      </w:pPr>
      <w:r>
        <w:t xml:space="preserve">extending the protected </w:t>
      </w:r>
      <w:r w:rsidR="00277ED6">
        <w:t>characteristic</w:t>
      </w:r>
      <w:r>
        <w:t>s (perhaps to bring this in line with the definitions in the Scotland Act</w:t>
      </w:r>
      <w:r w:rsidR="00277ED6">
        <w:t>, or to include for example caste, socio-economic status, carers, appearance</w:t>
      </w:r>
      <w:r w:rsidR="00FF42DF">
        <w:t>)</w:t>
      </w:r>
      <w:r>
        <w:t xml:space="preserve"> </w:t>
      </w:r>
    </w:p>
    <w:p w:rsidR="00FF42DF" w:rsidRDefault="00B1520A" w:rsidP="00FF42DF">
      <w:pPr>
        <w:pStyle w:val="ListParagraph"/>
        <w:numPr>
          <w:ilvl w:val="0"/>
          <w:numId w:val="25"/>
        </w:numPr>
        <w:tabs>
          <w:tab w:val="left" w:pos="2880"/>
        </w:tabs>
        <w:jc w:val="both"/>
      </w:pPr>
      <w:r>
        <w:t>limiting exceptions, eg in relation to the age protected characteris</w:t>
      </w:r>
      <w:r w:rsidR="00FF42DF">
        <w:t>tic (eg removing national minimum wage exception)</w:t>
      </w:r>
    </w:p>
    <w:p w:rsidR="00FF42DF" w:rsidRDefault="00277ED6" w:rsidP="00FF42DF">
      <w:pPr>
        <w:pStyle w:val="ListParagraph"/>
        <w:numPr>
          <w:ilvl w:val="0"/>
          <w:numId w:val="25"/>
        </w:numPr>
        <w:tabs>
          <w:tab w:val="left" w:pos="2880"/>
        </w:tabs>
        <w:jc w:val="both"/>
      </w:pPr>
      <w:r>
        <w:t>introducing stand alone harassment provisions for sexual orientation and religion or belief</w:t>
      </w:r>
      <w:r w:rsidR="00FF42DF">
        <w:t xml:space="preserve"> beyond the employment context</w:t>
      </w:r>
    </w:p>
    <w:p w:rsidR="00FF42DF" w:rsidRDefault="00277ED6" w:rsidP="00FF42DF">
      <w:pPr>
        <w:pStyle w:val="ListParagraph"/>
        <w:numPr>
          <w:ilvl w:val="0"/>
          <w:numId w:val="25"/>
        </w:numPr>
        <w:tabs>
          <w:tab w:val="left" w:pos="2880"/>
        </w:tabs>
        <w:jc w:val="both"/>
      </w:pPr>
      <w:r>
        <w:t>introducing provisions to protect those suffering</w:t>
      </w:r>
      <w:r w:rsidR="00FF42DF">
        <w:t xml:space="preserve"> intersectional discrimination on multiple grounds</w:t>
      </w:r>
    </w:p>
    <w:p w:rsidR="00FF42DF" w:rsidRDefault="00277ED6" w:rsidP="00FF42DF">
      <w:pPr>
        <w:pStyle w:val="ListParagraph"/>
        <w:numPr>
          <w:ilvl w:val="0"/>
          <w:numId w:val="25"/>
        </w:numPr>
        <w:tabs>
          <w:tab w:val="left" w:pos="2880"/>
        </w:tabs>
        <w:jc w:val="both"/>
      </w:pPr>
      <w:r>
        <w:t>expanding family friendly laws (particularly shared parental leave which could be a standalone right f</w:t>
      </w:r>
      <w:r w:rsidR="00FF42DF">
        <w:t>or fathers as well as mothers)</w:t>
      </w:r>
    </w:p>
    <w:p w:rsidR="00B1520A" w:rsidRDefault="00277ED6" w:rsidP="00FF42DF">
      <w:pPr>
        <w:pStyle w:val="ListParagraph"/>
        <w:numPr>
          <w:ilvl w:val="0"/>
          <w:numId w:val="25"/>
        </w:numPr>
        <w:tabs>
          <w:tab w:val="left" w:pos="2880"/>
        </w:tabs>
        <w:jc w:val="both"/>
      </w:pPr>
      <w:r>
        <w:t>radically overhauling equal pay laws to intro</w:t>
      </w:r>
      <w:r w:rsidR="00FF42DF">
        <w:t>duce an equal pay duty with teet</w:t>
      </w:r>
      <w:r>
        <w:t>h</w:t>
      </w:r>
      <w:r w:rsidR="0062012D">
        <w:t xml:space="preserve"> through an </w:t>
      </w:r>
      <w:r>
        <w:t xml:space="preserve"> organisational or collective approach rather than individual enforcement.</w:t>
      </w:r>
    </w:p>
    <w:p w:rsidR="00277ED6" w:rsidRDefault="004D0A7C" w:rsidP="00140C8F">
      <w:pPr>
        <w:tabs>
          <w:tab w:val="left" w:pos="2880"/>
        </w:tabs>
        <w:jc w:val="both"/>
        <w:rPr>
          <w:rFonts w:cstheme="minorHAnsi"/>
        </w:rPr>
      </w:pPr>
      <w:r>
        <w:rPr>
          <w:rFonts w:cstheme="minorHAnsi"/>
        </w:rPr>
        <w:t>In an independent nation, a</w:t>
      </w:r>
      <w:r w:rsidR="004D2F69">
        <w:rPr>
          <w:rFonts w:cstheme="minorHAnsi"/>
        </w:rPr>
        <w:t xml:space="preserve"> c</w:t>
      </w:r>
      <w:r w:rsidR="00CA5B2C">
        <w:rPr>
          <w:rFonts w:cstheme="minorHAnsi"/>
        </w:rPr>
        <w:t>onstitutional right to equality</w:t>
      </w:r>
      <w:r w:rsidR="007A7496">
        <w:rPr>
          <w:rFonts w:cstheme="minorHAnsi"/>
        </w:rPr>
        <w:t xml:space="preserve"> </w:t>
      </w:r>
      <w:r w:rsidR="004D2F69">
        <w:rPr>
          <w:rFonts w:cstheme="minorHAnsi"/>
        </w:rPr>
        <w:t>could b</w:t>
      </w:r>
      <w:r w:rsidR="0062012D">
        <w:rPr>
          <w:rFonts w:cstheme="minorHAnsi"/>
        </w:rPr>
        <w:t>e included in</w:t>
      </w:r>
      <w:r w:rsidR="00AD48E6">
        <w:rPr>
          <w:rFonts w:cstheme="minorHAnsi"/>
        </w:rPr>
        <w:t xml:space="preserve"> any written constitution.</w:t>
      </w:r>
      <w:r w:rsidR="004D2F69">
        <w:rPr>
          <w:rFonts w:cstheme="minorHAnsi"/>
        </w:rPr>
        <w:t xml:space="preserve"> This would afford the </w:t>
      </w:r>
      <w:r w:rsidR="007A7496">
        <w:rPr>
          <w:rFonts w:cstheme="minorHAnsi"/>
        </w:rPr>
        <w:t xml:space="preserve">opportunity for legal developments in this area </w:t>
      </w:r>
      <w:r w:rsidR="004B4F36">
        <w:rPr>
          <w:rFonts w:cstheme="minorHAnsi"/>
        </w:rPr>
        <w:t xml:space="preserve">to formulate laws which would seek to ensure </w:t>
      </w:r>
      <w:r w:rsidR="004D2F69">
        <w:rPr>
          <w:rFonts w:cstheme="minorHAnsi"/>
        </w:rPr>
        <w:t xml:space="preserve"> full equality in practice. </w:t>
      </w:r>
      <w:r w:rsidR="00B1520A">
        <w:rPr>
          <w:rFonts w:cstheme="minorHAnsi"/>
        </w:rPr>
        <w:t>In the five years before the implementation of the Equality Act, there were proposals for a much more radical approach to Equality law to better secure the goal of full equality in practice</w:t>
      </w:r>
      <w:r w:rsidR="00277ED6">
        <w:rPr>
          <w:rFonts w:cstheme="minorHAnsi"/>
        </w:rPr>
        <w:t>.</w:t>
      </w:r>
      <w:r w:rsidR="00657B3C">
        <w:rPr>
          <w:rStyle w:val="FootnoteReference"/>
          <w:rFonts w:cstheme="minorHAnsi"/>
        </w:rPr>
        <w:footnoteReference w:id="29"/>
      </w:r>
      <w:r w:rsidR="00277ED6">
        <w:rPr>
          <w:rFonts w:cstheme="minorHAnsi"/>
        </w:rPr>
        <w:t xml:space="preserve"> These might include an approach to securing equality </w:t>
      </w:r>
      <w:r w:rsidR="00277ED6">
        <w:rPr>
          <w:rFonts w:cstheme="minorHAnsi"/>
        </w:rPr>
        <w:lastRenderedPageBreak/>
        <w:t xml:space="preserve">which focussed on dignity and respect for all citizens or </w:t>
      </w:r>
      <w:r w:rsidR="004B4F36">
        <w:rPr>
          <w:rFonts w:cstheme="minorHAnsi"/>
        </w:rPr>
        <w:t>a duty to make reasonable accommodations for identified protected groups.</w:t>
      </w:r>
      <w:r w:rsidR="00E758D1">
        <w:rPr>
          <w:rFonts w:cstheme="minorHAnsi"/>
        </w:rPr>
        <w:t xml:space="preserve"> </w:t>
      </w:r>
      <w:r w:rsidR="00A50A8B">
        <w:rPr>
          <w:rFonts w:cstheme="minorHAnsi"/>
        </w:rPr>
        <w:t>In an independent nation (or indeed in the event of further devolution), a body such as a Scottish Equal Opportunities Commission, may require to be established to oversee the enforcement and promotion of equality.</w:t>
      </w:r>
    </w:p>
    <w:p w:rsidR="00E758D1" w:rsidRDefault="00E758D1" w:rsidP="00140C8F">
      <w:pPr>
        <w:tabs>
          <w:tab w:val="left" w:pos="2880"/>
        </w:tabs>
        <w:jc w:val="both"/>
        <w:rPr>
          <w:rFonts w:cstheme="minorHAnsi"/>
        </w:rPr>
      </w:pPr>
      <w:r>
        <w:rPr>
          <w:rFonts w:cstheme="minorHAnsi"/>
        </w:rPr>
        <w:t>Muriel Robison</w:t>
      </w:r>
    </w:p>
    <w:p w:rsidR="00E758D1" w:rsidRDefault="00E758D1" w:rsidP="00140C8F">
      <w:pPr>
        <w:tabs>
          <w:tab w:val="left" w:pos="2880"/>
        </w:tabs>
        <w:jc w:val="both"/>
        <w:rPr>
          <w:rFonts w:cstheme="minorHAnsi"/>
        </w:rPr>
      </w:pPr>
      <w:r>
        <w:rPr>
          <w:rFonts w:cstheme="minorHAnsi"/>
        </w:rPr>
        <w:t>University of Glasgow</w:t>
      </w:r>
    </w:p>
    <w:p w:rsidR="00E758D1" w:rsidRPr="0069361D" w:rsidRDefault="00E758D1" w:rsidP="00140C8F">
      <w:pPr>
        <w:tabs>
          <w:tab w:val="left" w:pos="2880"/>
        </w:tabs>
        <w:jc w:val="both"/>
        <w:rPr>
          <w:rFonts w:cstheme="minorHAnsi"/>
        </w:rPr>
      </w:pPr>
      <w:r>
        <w:rPr>
          <w:rFonts w:cstheme="minorHAnsi"/>
        </w:rPr>
        <w:t>21 February 2017</w:t>
      </w:r>
    </w:p>
    <w:sectPr w:rsidR="00E758D1" w:rsidRPr="0069361D" w:rsidSect="00632339">
      <w:footerReference w:type="default" r:id="rId9"/>
      <w:pgSz w:w="11906" w:h="16838"/>
      <w:pgMar w:top="1135"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861" w:rsidRDefault="000B7861" w:rsidP="00B30168">
      <w:pPr>
        <w:spacing w:after="0" w:line="240" w:lineRule="auto"/>
      </w:pPr>
      <w:r>
        <w:separator/>
      </w:r>
    </w:p>
  </w:endnote>
  <w:endnote w:type="continuationSeparator" w:id="0">
    <w:p w:rsidR="000B7861" w:rsidRDefault="000B7861" w:rsidP="00B30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7C" w:rsidRPr="00B30168" w:rsidRDefault="004D0A7C">
    <w:pPr>
      <w:pStyle w:val="Footer"/>
      <w:jc w:val="right"/>
      <w:rPr>
        <w:sz w:val="18"/>
      </w:rPr>
    </w:pPr>
    <w:r w:rsidRPr="00B30168">
      <w:rPr>
        <w:sz w:val="18"/>
      </w:rPr>
      <w:t xml:space="preserve">Page </w:t>
    </w:r>
    <w:sdt>
      <w:sdtPr>
        <w:rPr>
          <w:sz w:val="18"/>
        </w:rPr>
        <w:id w:val="-161317791"/>
        <w:docPartObj>
          <w:docPartGallery w:val="Page Numbers (Bottom of Page)"/>
          <w:docPartUnique/>
        </w:docPartObj>
      </w:sdtPr>
      <w:sdtEndPr>
        <w:rPr>
          <w:noProof/>
        </w:rPr>
      </w:sdtEndPr>
      <w:sdtContent>
        <w:r w:rsidR="00C92FC7" w:rsidRPr="00B30168">
          <w:rPr>
            <w:sz w:val="18"/>
          </w:rPr>
          <w:fldChar w:fldCharType="begin"/>
        </w:r>
        <w:r w:rsidRPr="00B30168">
          <w:rPr>
            <w:sz w:val="18"/>
          </w:rPr>
          <w:instrText xml:space="preserve"> PAGE   \* MERGEFORMAT </w:instrText>
        </w:r>
        <w:r w:rsidR="00C92FC7" w:rsidRPr="00B30168">
          <w:rPr>
            <w:sz w:val="18"/>
          </w:rPr>
          <w:fldChar w:fldCharType="separate"/>
        </w:r>
        <w:r w:rsidR="00E758D1">
          <w:rPr>
            <w:noProof/>
            <w:sz w:val="18"/>
          </w:rPr>
          <w:t>6</w:t>
        </w:r>
        <w:r w:rsidR="00C92FC7" w:rsidRPr="00B30168">
          <w:rPr>
            <w:noProof/>
            <w:sz w:val="18"/>
          </w:rPr>
          <w:fldChar w:fldCharType="end"/>
        </w:r>
      </w:sdtContent>
    </w:sdt>
  </w:p>
  <w:p w:rsidR="004D0A7C" w:rsidRDefault="004D0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861" w:rsidRDefault="000B7861" w:rsidP="00B30168">
      <w:pPr>
        <w:spacing w:after="0" w:line="240" w:lineRule="auto"/>
      </w:pPr>
      <w:r>
        <w:separator/>
      </w:r>
    </w:p>
  </w:footnote>
  <w:footnote w:type="continuationSeparator" w:id="0">
    <w:p w:rsidR="000B7861" w:rsidRDefault="000B7861" w:rsidP="00B30168">
      <w:pPr>
        <w:spacing w:after="0" w:line="240" w:lineRule="auto"/>
      </w:pPr>
      <w:r>
        <w:continuationSeparator/>
      </w:r>
    </w:p>
  </w:footnote>
  <w:footnote w:id="1">
    <w:p w:rsidR="004D0A7C" w:rsidRPr="009A6BC5" w:rsidRDefault="004D0A7C" w:rsidP="009A6BC5">
      <w:pPr>
        <w:pStyle w:val="NoSpacing"/>
        <w:rPr>
          <w:sz w:val="16"/>
          <w:szCs w:val="16"/>
        </w:rPr>
      </w:pPr>
      <w:r w:rsidRPr="009A6BC5">
        <w:rPr>
          <w:rStyle w:val="FootnoteReference"/>
          <w:sz w:val="16"/>
          <w:szCs w:val="16"/>
        </w:rPr>
        <w:footnoteRef/>
      </w:r>
      <w:r w:rsidRPr="009A6BC5">
        <w:rPr>
          <w:sz w:val="16"/>
          <w:szCs w:val="16"/>
        </w:rPr>
        <w:t xml:space="preserve"> See decisions of the Court of Justice of the European Union (CJEU), eg</w:t>
      </w:r>
      <w:r>
        <w:rPr>
          <w:sz w:val="16"/>
          <w:szCs w:val="16"/>
        </w:rPr>
        <w:t xml:space="preserve">. Case 13/94 </w:t>
      </w:r>
      <w:r w:rsidRPr="009A6BC5">
        <w:rPr>
          <w:i/>
          <w:sz w:val="16"/>
          <w:szCs w:val="16"/>
        </w:rPr>
        <w:t>P v S and Cornwall County Council</w:t>
      </w:r>
      <w:r>
        <w:rPr>
          <w:sz w:val="16"/>
          <w:szCs w:val="16"/>
        </w:rPr>
        <w:t xml:space="preserve"> </w:t>
      </w:r>
      <w:r w:rsidRPr="009A6BC5">
        <w:rPr>
          <w:sz w:val="16"/>
          <w:szCs w:val="16"/>
        </w:rPr>
        <w:t>[1996] ECR I-2143</w:t>
      </w:r>
      <w:r>
        <w:rPr>
          <w:sz w:val="16"/>
          <w:szCs w:val="16"/>
        </w:rPr>
        <w:t>.</w:t>
      </w:r>
    </w:p>
  </w:footnote>
  <w:footnote w:id="2">
    <w:p w:rsidR="004D0A7C" w:rsidRPr="009A6BC5" w:rsidRDefault="004D0A7C" w:rsidP="009A6BC5">
      <w:pPr>
        <w:pStyle w:val="NoSpacing"/>
        <w:rPr>
          <w:sz w:val="16"/>
          <w:szCs w:val="16"/>
        </w:rPr>
      </w:pPr>
      <w:r w:rsidRPr="009A6BC5">
        <w:rPr>
          <w:rStyle w:val="FootnoteReference"/>
          <w:sz w:val="16"/>
          <w:szCs w:val="16"/>
        </w:rPr>
        <w:footnoteRef/>
      </w:r>
      <w:r w:rsidRPr="009A6BC5">
        <w:rPr>
          <w:sz w:val="16"/>
          <w:szCs w:val="16"/>
        </w:rPr>
        <w:t xml:space="preserve"> TEU Article 3(3).</w:t>
      </w:r>
    </w:p>
  </w:footnote>
  <w:footnote w:id="3">
    <w:p w:rsidR="004D0A7C" w:rsidRPr="009A6BC5" w:rsidRDefault="004D0A7C" w:rsidP="009A6BC5">
      <w:pPr>
        <w:pStyle w:val="NoSpacing"/>
        <w:rPr>
          <w:sz w:val="16"/>
          <w:szCs w:val="16"/>
        </w:rPr>
      </w:pPr>
      <w:r w:rsidRPr="009A6BC5">
        <w:rPr>
          <w:rStyle w:val="FootnoteReference"/>
          <w:sz w:val="16"/>
          <w:szCs w:val="16"/>
        </w:rPr>
        <w:footnoteRef/>
      </w:r>
      <w:r w:rsidRPr="009A6BC5">
        <w:rPr>
          <w:sz w:val="16"/>
          <w:szCs w:val="16"/>
        </w:rPr>
        <w:t xml:space="preserve"> 75/117/EEC</w:t>
      </w:r>
    </w:p>
  </w:footnote>
  <w:footnote w:id="4">
    <w:p w:rsidR="004D0A7C" w:rsidRPr="009A6BC5" w:rsidRDefault="004D0A7C" w:rsidP="009A6BC5">
      <w:pPr>
        <w:pStyle w:val="NoSpacing"/>
        <w:rPr>
          <w:sz w:val="16"/>
          <w:szCs w:val="16"/>
        </w:rPr>
      </w:pPr>
      <w:r w:rsidRPr="009A6BC5">
        <w:rPr>
          <w:rStyle w:val="FootnoteReference"/>
          <w:sz w:val="16"/>
          <w:szCs w:val="16"/>
        </w:rPr>
        <w:footnoteRef/>
      </w:r>
      <w:r w:rsidRPr="009A6BC5">
        <w:rPr>
          <w:sz w:val="16"/>
          <w:szCs w:val="16"/>
        </w:rPr>
        <w:t xml:space="preserve"> </w:t>
      </w:r>
      <w:r w:rsidRPr="009A6BC5">
        <w:rPr>
          <w:rFonts w:cstheme="minorHAnsi"/>
          <w:sz w:val="16"/>
          <w:szCs w:val="16"/>
        </w:rPr>
        <w:t>76/207/EEC</w:t>
      </w:r>
    </w:p>
  </w:footnote>
  <w:footnote w:id="5">
    <w:p w:rsidR="004D0A7C" w:rsidRPr="00485F25" w:rsidRDefault="004D0A7C" w:rsidP="009A6BC5">
      <w:pPr>
        <w:pStyle w:val="NoSpacing"/>
      </w:pPr>
      <w:r w:rsidRPr="009A6BC5">
        <w:rPr>
          <w:rStyle w:val="FootnoteReference"/>
          <w:sz w:val="16"/>
          <w:szCs w:val="16"/>
        </w:rPr>
        <w:footnoteRef/>
      </w:r>
      <w:r w:rsidRPr="009A6BC5">
        <w:rPr>
          <w:sz w:val="16"/>
          <w:szCs w:val="16"/>
        </w:rPr>
        <w:t xml:space="preserve"> </w:t>
      </w:r>
      <w:r w:rsidRPr="009A6BC5">
        <w:rPr>
          <w:rFonts w:cstheme="minorHAnsi"/>
          <w:sz w:val="16"/>
          <w:szCs w:val="16"/>
        </w:rPr>
        <w:t>86/378/EEC</w:t>
      </w:r>
    </w:p>
  </w:footnote>
  <w:footnote w:id="6">
    <w:p w:rsidR="004D0A7C" w:rsidRPr="009A6BC5" w:rsidRDefault="004D0A7C" w:rsidP="009A6BC5">
      <w:pPr>
        <w:pStyle w:val="NoSpacing"/>
        <w:rPr>
          <w:sz w:val="16"/>
          <w:szCs w:val="16"/>
        </w:rPr>
      </w:pPr>
      <w:r w:rsidRPr="009A6BC5">
        <w:rPr>
          <w:rStyle w:val="FootnoteReference"/>
          <w:sz w:val="16"/>
          <w:szCs w:val="16"/>
        </w:rPr>
        <w:footnoteRef/>
      </w:r>
      <w:r w:rsidRPr="009A6BC5">
        <w:rPr>
          <w:sz w:val="16"/>
          <w:szCs w:val="16"/>
        </w:rPr>
        <w:t xml:space="preserve"> 97/80/EC</w:t>
      </w:r>
    </w:p>
  </w:footnote>
  <w:footnote w:id="7">
    <w:p w:rsidR="004D0A7C" w:rsidRPr="00485F25" w:rsidRDefault="004D0A7C" w:rsidP="009A6BC5">
      <w:pPr>
        <w:pStyle w:val="NoSpacing"/>
      </w:pPr>
      <w:r w:rsidRPr="009A6BC5">
        <w:rPr>
          <w:rStyle w:val="FootnoteReference"/>
          <w:sz w:val="16"/>
          <w:szCs w:val="16"/>
        </w:rPr>
        <w:footnoteRef/>
      </w:r>
      <w:r w:rsidRPr="009A6BC5">
        <w:rPr>
          <w:sz w:val="16"/>
          <w:szCs w:val="16"/>
        </w:rPr>
        <w:t xml:space="preserve"> 92/85/EEC</w:t>
      </w:r>
    </w:p>
  </w:footnote>
  <w:footnote w:id="8">
    <w:p w:rsidR="004D0A7C" w:rsidRPr="00485F25" w:rsidRDefault="004D0A7C">
      <w:pPr>
        <w:pStyle w:val="FootnoteText"/>
        <w:rPr>
          <w:sz w:val="16"/>
          <w:szCs w:val="16"/>
        </w:rPr>
      </w:pPr>
      <w:r w:rsidRPr="00485F25">
        <w:rPr>
          <w:rStyle w:val="FootnoteReference"/>
          <w:sz w:val="16"/>
          <w:szCs w:val="16"/>
        </w:rPr>
        <w:footnoteRef/>
      </w:r>
      <w:r w:rsidRPr="00485F25">
        <w:rPr>
          <w:sz w:val="16"/>
          <w:szCs w:val="16"/>
        </w:rPr>
        <w:t xml:space="preserve"> </w:t>
      </w:r>
      <w:r w:rsidRPr="00485F25">
        <w:rPr>
          <w:rFonts w:cstheme="minorHAnsi"/>
          <w:sz w:val="16"/>
          <w:szCs w:val="16"/>
        </w:rPr>
        <w:t>primarily a health and safety measure enacted through Directive 89/391 and (now) Article 154 TFEU</w:t>
      </w:r>
    </w:p>
  </w:footnote>
  <w:footnote w:id="9">
    <w:p w:rsidR="004D0A7C" w:rsidRPr="00C82883" w:rsidRDefault="004D0A7C">
      <w:pPr>
        <w:pStyle w:val="FootnoteText"/>
        <w:rPr>
          <w:sz w:val="16"/>
          <w:szCs w:val="16"/>
        </w:rPr>
      </w:pPr>
      <w:r w:rsidRPr="00C82883">
        <w:rPr>
          <w:rStyle w:val="FootnoteReference"/>
          <w:sz w:val="16"/>
          <w:szCs w:val="16"/>
        </w:rPr>
        <w:footnoteRef/>
      </w:r>
      <w:r w:rsidRPr="00C82883">
        <w:rPr>
          <w:sz w:val="16"/>
          <w:szCs w:val="16"/>
        </w:rPr>
        <w:t xml:space="preserve"> </w:t>
      </w:r>
      <w:r w:rsidRPr="00C82883">
        <w:rPr>
          <w:rFonts w:cstheme="minorHAnsi"/>
          <w:sz w:val="16"/>
          <w:szCs w:val="16"/>
        </w:rPr>
        <w:t>94/34/EC now replaced by CD 2010/18/EU</w:t>
      </w:r>
    </w:p>
  </w:footnote>
  <w:footnote w:id="10">
    <w:p w:rsidR="004D0A7C" w:rsidRPr="00C82883" w:rsidRDefault="004D0A7C">
      <w:pPr>
        <w:pStyle w:val="FootnoteText"/>
        <w:rPr>
          <w:sz w:val="16"/>
          <w:szCs w:val="16"/>
        </w:rPr>
      </w:pPr>
      <w:r w:rsidRPr="00C82883">
        <w:rPr>
          <w:rStyle w:val="FootnoteReference"/>
          <w:sz w:val="16"/>
          <w:szCs w:val="16"/>
        </w:rPr>
        <w:footnoteRef/>
      </w:r>
      <w:r w:rsidRPr="00C82883">
        <w:rPr>
          <w:sz w:val="16"/>
          <w:szCs w:val="16"/>
        </w:rPr>
        <w:t xml:space="preserve"> </w:t>
      </w:r>
      <w:r w:rsidRPr="00C82883">
        <w:rPr>
          <w:rFonts w:cstheme="minorHAnsi"/>
          <w:sz w:val="16"/>
          <w:szCs w:val="16"/>
        </w:rPr>
        <w:t xml:space="preserve">97/81/EC  </w:t>
      </w:r>
    </w:p>
  </w:footnote>
  <w:footnote w:id="11">
    <w:p w:rsidR="004D0A7C" w:rsidRPr="00C82883" w:rsidRDefault="004D0A7C">
      <w:pPr>
        <w:pStyle w:val="FootnoteText"/>
        <w:rPr>
          <w:sz w:val="16"/>
          <w:szCs w:val="16"/>
        </w:rPr>
      </w:pPr>
      <w:r w:rsidRPr="00C82883">
        <w:rPr>
          <w:rStyle w:val="FootnoteReference"/>
          <w:sz w:val="16"/>
          <w:szCs w:val="16"/>
        </w:rPr>
        <w:footnoteRef/>
      </w:r>
      <w:r w:rsidRPr="00C82883">
        <w:rPr>
          <w:sz w:val="16"/>
          <w:szCs w:val="16"/>
        </w:rPr>
        <w:t xml:space="preserve"> </w:t>
      </w:r>
      <w:r w:rsidRPr="00C82883">
        <w:rPr>
          <w:rFonts w:cstheme="minorHAnsi"/>
          <w:sz w:val="16"/>
          <w:szCs w:val="16"/>
        </w:rPr>
        <w:t>99/70/EC</w:t>
      </w:r>
    </w:p>
  </w:footnote>
  <w:footnote w:id="12">
    <w:p w:rsidR="004D0A7C" w:rsidRPr="006102E8" w:rsidRDefault="004D0A7C">
      <w:pPr>
        <w:pStyle w:val="FootnoteText"/>
        <w:rPr>
          <w:sz w:val="16"/>
          <w:szCs w:val="16"/>
        </w:rPr>
      </w:pPr>
      <w:r w:rsidRPr="006102E8">
        <w:rPr>
          <w:rStyle w:val="FootnoteReference"/>
          <w:sz w:val="16"/>
          <w:szCs w:val="16"/>
        </w:rPr>
        <w:footnoteRef/>
      </w:r>
      <w:r w:rsidRPr="006102E8">
        <w:rPr>
          <w:sz w:val="16"/>
          <w:szCs w:val="16"/>
        </w:rPr>
        <w:t xml:space="preserve"> 208/04/EC</w:t>
      </w:r>
    </w:p>
  </w:footnote>
  <w:footnote w:id="13">
    <w:p w:rsidR="004D0A7C" w:rsidRPr="00C82883" w:rsidRDefault="004D0A7C">
      <w:pPr>
        <w:pStyle w:val="FootnoteText"/>
        <w:rPr>
          <w:sz w:val="16"/>
          <w:szCs w:val="16"/>
        </w:rPr>
      </w:pPr>
      <w:r w:rsidRPr="00C82883">
        <w:rPr>
          <w:rStyle w:val="FootnoteReference"/>
          <w:sz w:val="16"/>
          <w:szCs w:val="16"/>
        </w:rPr>
        <w:footnoteRef/>
      </w:r>
      <w:r w:rsidRPr="00C82883">
        <w:rPr>
          <w:sz w:val="16"/>
          <w:szCs w:val="16"/>
        </w:rPr>
        <w:t xml:space="preserve"> </w:t>
      </w:r>
      <w:r w:rsidRPr="00C82883">
        <w:rPr>
          <w:rFonts w:cstheme="minorHAnsi"/>
          <w:sz w:val="16"/>
          <w:szCs w:val="16"/>
        </w:rPr>
        <w:t>94/33/EC</w:t>
      </w:r>
    </w:p>
  </w:footnote>
  <w:footnote w:id="14">
    <w:p w:rsidR="004D0A7C" w:rsidRPr="00C82883" w:rsidRDefault="004D0A7C" w:rsidP="00C82883">
      <w:pPr>
        <w:jc w:val="both"/>
        <w:rPr>
          <w:sz w:val="16"/>
          <w:szCs w:val="16"/>
        </w:rPr>
      </w:pPr>
      <w:r w:rsidRPr="00C82883">
        <w:rPr>
          <w:rStyle w:val="FootnoteReference"/>
          <w:sz w:val="16"/>
          <w:szCs w:val="16"/>
        </w:rPr>
        <w:footnoteRef/>
      </w:r>
      <w:r w:rsidRPr="00C82883">
        <w:rPr>
          <w:sz w:val="16"/>
          <w:szCs w:val="16"/>
        </w:rPr>
        <w:t xml:space="preserve"> </w:t>
      </w:r>
      <w:r w:rsidRPr="00C82883">
        <w:rPr>
          <w:rFonts w:cstheme="minorHAnsi"/>
          <w:sz w:val="16"/>
          <w:szCs w:val="16"/>
        </w:rPr>
        <w:t>96/71/EC and 98/45/EC.</w:t>
      </w:r>
    </w:p>
  </w:footnote>
  <w:footnote w:id="15">
    <w:p w:rsidR="004D0A7C" w:rsidRPr="00C82883" w:rsidRDefault="004D0A7C">
      <w:pPr>
        <w:pStyle w:val="FootnoteText"/>
        <w:rPr>
          <w:sz w:val="16"/>
          <w:szCs w:val="16"/>
        </w:rPr>
      </w:pPr>
      <w:r w:rsidRPr="00C82883">
        <w:rPr>
          <w:rStyle w:val="FootnoteReference"/>
          <w:sz w:val="16"/>
          <w:szCs w:val="16"/>
        </w:rPr>
        <w:footnoteRef/>
      </w:r>
      <w:r w:rsidRPr="00C82883">
        <w:rPr>
          <w:sz w:val="16"/>
          <w:szCs w:val="16"/>
        </w:rPr>
        <w:t xml:space="preserve"> </w:t>
      </w:r>
      <w:r w:rsidRPr="00C82883">
        <w:rPr>
          <w:rFonts w:cstheme="minorHAnsi"/>
          <w:sz w:val="16"/>
          <w:szCs w:val="16"/>
        </w:rPr>
        <w:t>2000/43/EC</w:t>
      </w:r>
    </w:p>
  </w:footnote>
  <w:footnote w:id="16">
    <w:p w:rsidR="004D0A7C" w:rsidRPr="00C82883" w:rsidRDefault="004D0A7C">
      <w:pPr>
        <w:pStyle w:val="FootnoteText"/>
        <w:rPr>
          <w:sz w:val="16"/>
          <w:szCs w:val="16"/>
        </w:rPr>
      </w:pPr>
      <w:r w:rsidRPr="00C82883">
        <w:rPr>
          <w:rStyle w:val="FootnoteReference"/>
          <w:sz w:val="16"/>
          <w:szCs w:val="16"/>
        </w:rPr>
        <w:footnoteRef/>
      </w:r>
      <w:r w:rsidRPr="00C82883">
        <w:rPr>
          <w:sz w:val="16"/>
          <w:szCs w:val="16"/>
        </w:rPr>
        <w:t xml:space="preserve"> </w:t>
      </w:r>
      <w:r w:rsidRPr="00C82883">
        <w:rPr>
          <w:rFonts w:cstheme="minorHAnsi"/>
          <w:sz w:val="16"/>
          <w:szCs w:val="16"/>
        </w:rPr>
        <w:t>2000/78/EC</w:t>
      </w:r>
    </w:p>
  </w:footnote>
  <w:footnote w:id="17">
    <w:p w:rsidR="004D0A7C" w:rsidRPr="00C82883" w:rsidRDefault="004D0A7C">
      <w:pPr>
        <w:pStyle w:val="FootnoteText"/>
        <w:rPr>
          <w:sz w:val="16"/>
          <w:szCs w:val="16"/>
        </w:rPr>
      </w:pPr>
      <w:r w:rsidRPr="00C82883">
        <w:rPr>
          <w:rStyle w:val="FootnoteReference"/>
          <w:sz w:val="16"/>
          <w:szCs w:val="16"/>
        </w:rPr>
        <w:footnoteRef/>
      </w:r>
      <w:r w:rsidRPr="00C82883">
        <w:rPr>
          <w:sz w:val="16"/>
          <w:szCs w:val="16"/>
        </w:rPr>
        <w:t xml:space="preserve"> </w:t>
      </w:r>
      <w:r w:rsidRPr="00C82883">
        <w:rPr>
          <w:rFonts w:cstheme="minorHAnsi"/>
          <w:sz w:val="16"/>
          <w:szCs w:val="16"/>
        </w:rPr>
        <w:t>2004/113/EC</w:t>
      </w:r>
    </w:p>
  </w:footnote>
  <w:footnote w:id="18">
    <w:p w:rsidR="004D0A7C" w:rsidRPr="00723AA6" w:rsidRDefault="004D0A7C" w:rsidP="009A6BC5">
      <w:pPr>
        <w:pStyle w:val="NoSpacing"/>
        <w:rPr>
          <w:sz w:val="16"/>
          <w:szCs w:val="16"/>
        </w:rPr>
      </w:pPr>
      <w:r w:rsidRPr="00C82883">
        <w:rPr>
          <w:rStyle w:val="FootnoteReference"/>
          <w:sz w:val="16"/>
          <w:szCs w:val="16"/>
        </w:rPr>
        <w:footnoteRef/>
      </w:r>
      <w:r w:rsidRPr="00C82883">
        <w:t xml:space="preserve"> </w:t>
      </w:r>
      <w:r w:rsidRPr="00723AA6">
        <w:rPr>
          <w:sz w:val="16"/>
          <w:szCs w:val="16"/>
        </w:rPr>
        <w:t>Article 6(1)</w:t>
      </w:r>
    </w:p>
  </w:footnote>
  <w:footnote w:id="19">
    <w:p w:rsidR="004D0A7C" w:rsidRPr="00DE4E02" w:rsidRDefault="004D0A7C" w:rsidP="009A6BC5">
      <w:pPr>
        <w:pStyle w:val="NoSpacing"/>
      </w:pPr>
      <w:r w:rsidRPr="00723AA6">
        <w:rPr>
          <w:rStyle w:val="FootnoteReference"/>
          <w:sz w:val="16"/>
          <w:szCs w:val="16"/>
        </w:rPr>
        <w:footnoteRef/>
      </w:r>
      <w:r w:rsidRPr="00723AA6">
        <w:rPr>
          <w:sz w:val="16"/>
          <w:szCs w:val="16"/>
        </w:rPr>
        <w:t xml:space="preserve"> See Discrimination Law title of Stair Memorial Encyclopaedia</w:t>
      </w:r>
      <w:r>
        <w:rPr>
          <w:sz w:val="16"/>
          <w:szCs w:val="16"/>
        </w:rPr>
        <w:t>.</w:t>
      </w:r>
    </w:p>
  </w:footnote>
  <w:footnote w:id="20">
    <w:p w:rsidR="004D0A7C" w:rsidRPr="00DE4E02" w:rsidRDefault="004D0A7C">
      <w:pPr>
        <w:pStyle w:val="FootnoteText"/>
        <w:rPr>
          <w:sz w:val="16"/>
          <w:szCs w:val="16"/>
        </w:rPr>
      </w:pPr>
      <w:r w:rsidRPr="00DE4E02">
        <w:rPr>
          <w:rStyle w:val="FootnoteReference"/>
          <w:sz w:val="16"/>
          <w:szCs w:val="16"/>
        </w:rPr>
        <w:footnoteRef/>
      </w:r>
      <w:r w:rsidRPr="00DE4E02">
        <w:rPr>
          <w:sz w:val="16"/>
          <w:szCs w:val="16"/>
        </w:rPr>
        <w:t xml:space="preserve"> Government Equalities Office, Review of the PSED: Report of the Independent Steering Group, 6.9.13</w:t>
      </w:r>
    </w:p>
  </w:footnote>
  <w:footnote w:id="21">
    <w:p w:rsidR="004D0A7C" w:rsidRPr="00723AA6" w:rsidRDefault="004D0A7C" w:rsidP="00723AA6">
      <w:pPr>
        <w:pStyle w:val="NoSpacing"/>
        <w:rPr>
          <w:sz w:val="16"/>
          <w:szCs w:val="16"/>
        </w:rPr>
      </w:pPr>
      <w:r w:rsidRPr="00723AA6">
        <w:rPr>
          <w:rStyle w:val="FootnoteReference"/>
          <w:sz w:val="16"/>
          <w:szCs w:val="16"/>
        </w:rPr>
        <w:footnoteRef/>
      </w:r>
      <w:r w:rsidRPr="00723AA6">
        <w:rPr>
          <w:sz w:val="16"/>
          <w:szCs w:val="16"/>
        </w:rPr>
        <w:t xml:space="preserve"> COM (2008) 426 Final</w:t>
      </w:r>
    </w:p>
  </w:footnote>
  <w:footnote w:id="22">
    <w:p w:rsidR="004D0A7C" w:rsidRPr="00723AA6" w:rsidRDefault="004D0A7C" w:rsidP="00723AA6">
      <w:pPr>
        <w:pStyle w:val="NoSpacing"/>
        <w:rPr>
          <w:sz w:val="16"/>
          <w:szCs w:val="16"/>
        </w:rPr>
      </w:pPr>
      <w:r w:rsidRPr="00723AA6">
        <w:rPr>
          <w:rStyle w:val="FootnoteReference"/>
          <w:sz w:val="16"/>
          <w:szCs w:val="16"/>
        </w:rPr>
        <w:footnoteRef/>
      </w:r>
      <w:r w:rsidRPr="00723AA6">
        <w:rPr>
          <w:sz w:val="16"/>
          <w:szCs w:val="16"/>
        </w:rPr>
        <w:t xml:space="preserve"> see Employment, Social Policy, Health and Consumer Affairs Brussels 1 and 2 December 2011 17943/1/11 Rev 1 Presse 471). Also L Waddington, “Future Prospects for EU Equality Law: lessons to be learnt from the proposed equal treatment directive 2011 36 EL Rev 136 – “lack of enthusiasm among some member states and absolute opposition by others. There have been numerous amendments and continuing concerns about competence of the EU in certain areas”; “the prospects do not look good for adoption of this proposed Directive”.</w:t>
      </w:r>
    </w:p>
  </w:footnote>
  <w:footnote w:id="23">
    <w:p w:rsidR="004D0A7C" w:rsidRPr="00723AA6" w:rsidRDefault="004D0A7C" w:rsidP="00723AA6">
      <w:pPr>
        <w:pStyle w:val="NoSpacing"/>
        <w:rPr>
          <w:sz w:val="16"/>
          <w:szCs w:val="16"/>
        </w:rPr>
      </w:pPr>
      <w:r w:rsidRPr="00723AA6">
        <w:rPr>
          <w:rStyle w:val="FootnoteReference"/>
          <w:sz w:val="16"/>
          <w:szCs w:val="16"/>
        </w:rPr>
        <w:footnoteRef/>
      </w:r>
      <w:r w:rsidRPr="00723AA6">
        <w:rPr>
          <w:sz w:val="16"/>
          <w:szCs w:val="16"/>
        </w:rPr>
        <w:t xml:space="preserve"> going beyond the provisions of section 14 of the Equality Act which have in any event not yet been brought into force.</w:t>
      </w:r>
    </w:p>
  </w:footnote>
  <w:footnote w:id="24">
    <w:p w:rsidR="004D0A7C" w:rsidRPr="00A40CB4" w:rsidRDefault="004D0A7C" w:rsidP="00723AA6">
      <w:pPr>
        <w:pStyle w:val="NoSpacing"/>
        <w:rPr>
          <w:sz w:val="16"/>
          <w:szCs w:val="16"/>
        </w:rPr>
      </w:pPr>
      <w:r w:rsidRPr="00A40CB4">
        <w:rPr>
          <w:rStyle w:val="FootnoteReference"/>
          <w:sz w:val="16"/>
          <w:szCs w:val="16"/>
        </w:rPr>
        <w:footnoteRef/>
      </w:r>
      <w:r w:rsidRPr="00A40CB4">
        <w:rPr>
          <w:sz w:val="16"/>
          <w:szCs w:val="16"/>
        </w:rPr>
        <w:t xml:space="preserve"> 2010/18/EU</w:t>
      </w:r>
    </w:p>
  </w:footnote>
  <w:footnote w:id="25">
    <w:p w:rsidR="004D0A7C" w:rsidRPr="00A40CB4" w:rsidRDefault="004D0A7C" w:rsidP="00A40CB4">
      <w:pPr>
        <w:jc w:val="both"/>
        <w:rPr>
          <w:rFonts w:cstheme="minorHAnsi"/>
          <w:sz w:val="16"/>
          <w:szCs w:val="16"/>
        </w:rPr>
      </w:pPr>
      <w:r w:rsidRPr="00A40CB4">
        <w:rPr>
          <w:rStyle w:val="FootnoteReference"/>
          <w:sz w:val="16"/>
          <w:szCs w:val="16"/>
        </w:rPr>
        <w:footnoteRef/>
      </w:r>
      <w:r w:rsidRPr="00A40CB4">
        <w:rPr>
          <w:sz w:val="16"/>
          <w:szCs w:val="16"/>
        </w:rPr>
        <w:t xml:space="preserve"> </w:t>
      </w:r>
      <w:r w:rsidRPr="00A40CB4">
        <w:rPr>
          <w:rFonts w:cstheme="minorHAnsi"/>
          <w:sz w:val="16"/>
          <w:szCs w:val="16"/>
        </w:rPr>
        <w:t>C(2015) 7754 Final</w:t>
      </w:r>
    </w:p>
    <w:p w:rsidR="004D0A7C" w:rsidRDefault="004D0A7C">
      <w:pPr>
        <w:pStyle w:val="FootnoteText"/>
      </w:pPr>
    </w:p>
  </w:footnote>
  <w:footnote w:id="26">
    <w:p w:rsidR="004D0A7C" w:rsidRPr="00FD5AA0" w:rsidRDefault="004D0A7C">
      <w:pPr>
        <w:pStyle w:val="FootnoteText"/>
        <w:rPr>
          <w:sz w:val="16"/>
          <w:szCs w:val="16"/>
        </w:rPr>
      </w:pPr>
      <w:r w:rsidRPr="00FD5AA0">
        <w:rPr>
          <w:rStyle w:val="FootnoteReference"/>
          <w:sz w:val="16"/>
          <w:szCs w:val="16"/>
        </w:rPr>
        <w:footnoteRef/>
      </w:r>
      <w:r w:rsidRPr="00FD5AA0">
        <w:rPr>
          <w:sz w:val="16"/>
          <w:szCs w:val="16"/>
        </w:rPr>
        <w:t xml:space="preserve"> COM/2012/0614 Final</w:t>
      </w:r>
    </w:p>
  </w:footnote>
  <w:footnote w:id="27">
    <w:p w:rsidR="004D0A7C" w:rsidRPr="00A40CB4" w:rsidRDefault="004D0A7C">
      <w:pPr>
        <w:pStyle w:val="FootnoteText"/>
        <w:rPr>
          <w:sz w:val="16"/>
          <w:szCs w:val="16"/>
        </w:rPr>
      </w:pPr>
      <w:r w:rsidRPr="00A40CB4">
        <w:rPr>
          <w:rStyle w:val="FootnoteReference"/>
          <w:sz w:val="16"/>
          <w:szCs w:val="16"/>
        </w:rPr>
        <w:footnoteRef/>
      </w:r>
      <w:r w:rsidRPr="00A40CB4">
        <w:rPr>
          <w:sz w:val="16"/>
          <w:szCs w:val="16"/>
        </w:rPr>
        <w:t xml:space="preserve"> COM (2015) 615</w:t>
      </w:r>
    </w:p>
  </w:footnote>
  <w:footnote w:id="28">
    <w:p w:rsidR="004D0A7C" w:rsidRPr="00723AA6" w:rsidRDefault="004D0A7C" w:rsidP="00723AA6">
      <w:pPr>
        <w:pStyle w:val="FootnoteText"/>
        <w:rPr>
          <w:sz w:val="16"/>
          <w:szCs w:val="16"/>
        </w:rPr>
      </w:pPr>
      <w:r w:rsidRPr="00723AA6">
        <w:rPr>
          <w:rStyle w:val="FootnoteReference"/>
          <w:sz w:val="16"/>
          <w:szCs w:val="16"/>
        </w:rPr>
        <w:footnoteRef/>
      </w:r>
      <w:r w:rsidRPr="00723AA6">
        <w:rPr>
          <w:sz w:val="16"/>
          <w:szCs w:val="16"/>
        </w:rPr>
        <w:t xml:space="preserve"> Although not up to date, all of thes</w:t>
      </w:r>
      <w:r>
        <w:rPr>
          <w:sz w:val="16"/>
          <w:szCs w:val="16"/>
        </w:rPr>
        <w:t>e issues were discussed in ‘</w:t>
      </w:r>
      <w:r w:rsidRPr="00723AA6">
        <w:rPr>
          <w:sz w:val="16"/>
          <w:szCs w:val="16"/>
        </w:rPr>
        <w:t>Research report 33: The place of equal opportunities in the devolution settlement: a legal analysis</w:t>
      </w:r>
      <w:r>
        <w:rPr>
          <w:sz w:val="16"/>
          <w:szCs w:val="16"/>
        </w:rPr>
        <w:t xml:space="preserve">’ </w:t>
      </w:r>
      <w:r w:rsidRPr="00723AA6">
        <w:rPr>
          <w:sz w:val="16"/>
          <w:szCs w:val="16"/>
        </w:rPr>
        <w:t xml:space="preserve">by Professor Colm </w:t>
      </w:r>
      <w:proofErr w:type="spellStart"/>
      <w:r w:rsidRPr="00723AA6">
        <w:rPr>
          <w:sz w:val="16"/>
          <w:szCs w:val="16"/>
        </w:rPr>
        <w:t>O’Cinneide</w:t>
      </w:r>
      <w:proofErr w:type="spellEnd"/>
      <w:r>
        <w:rPr>
          <w:sz w:val="16"/>
          <w:szCs w:val="16"/>
        </w:rPr>
        <w:t xml:space="preserve"> (EHRC, 2009), available: </w:t>
      </w:r>
      <w:hyperlink r:id="rId1" w:history="1">
        <w:r w:rsidRPr="0084510F">
          <w:rPr>
            <w:rStyle w:val="Hyperlink"/>
            <w:sz w:val="16"/>
            <w:szCs w:val="16"/>
          </w:rPr>
          <w:t>https://www.equalityhumanrights.com/en/publication-download/research-report-33-place-equal-opportunities-devolution-settlement-legal</w:t>
        </w:r>
      </w:hyperlink>
      <w:r>
        <w:rPr>
          <w:sz w:val="16"/>
          <w:szCs w:val="16"/>
        </w:rPr>
        <w:t xml:space="preserve"> </w:t>
      </w:r>
    </w:p>
    <w:p w:rsidR="004D0A7C" w:rsidRPr="00723AA6" w:rsidRDefault="004D0A7C">
      <w:pPr>
        <w:pStyle w:val="FootnoteText"/>
        <w:rPr>
          <w:sz w:val="16"/>
          <w:szCs w:val="16"/>
        </w:rPr>
      </w:pPr>
    </w:p>
  </w:footnote>
  <w:footnote w:id="29">
    <w:p w:rsidR="004D0A7C" w:rsidRDefault="004D0A7C">
      <w:pPr>
        <w:pStyle w:val="FootnoteText"/>
      </w:pPr>
      <w:r>
        <w:rPr>
          <w:rStyle w:val="FootnoteReference"/>
        </w:rPr>
        <w:footnoteRef/>
      </w:r>
      <w:r>
        <w:t xml:space="preserve"> See B. Hepple</w:t>
      </w:r>
      <w:r w:rsidRPr="00657B3C">
        <w:t xml:space="preserve">, </w:t>
      </w:r>
      <w:r>
        <w:t>M. Coussey</w:t>
      </w:r>
      <w:r w:rsidRPr="00657B3C">
        <w:t xml:space="preserve">, </w:t>
      </w:r>
      <w:r>
        <w:t>T. Choudhury, ‘</w:t>
      </w:r>
      <w:r w:rsidRPr="00657B3C">
        <w:t>Equality: a new Framework: Report of the Independent Review of the Enforcement of UK Anti-Discrimination Legislation</w:t>
      </w:r>
      <w:r>
        <w:t>’</w:t>
      </w:r>
      <w:r w:rsidRPr="00657B3C">
        <w:t xml:space="preserve">, </w:t>
      </w:r>
      <w:r>
        <w:t>(</w:t>
      </w:r>
      <w:r w:rsidRPr="00657B3C">
        <w:t>Hart Publishing, 2000</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2C9"/>
    <w:multiLevelType w:val="hybridMultilevel"/>
    <w:tmpl w:val="604A5402"/>
    <w:lvl w:ilvl="0" w:tplc="43CA20BA">
      <w:start w:val="1"/>
      <w:numFmt w:val="bullet"/>
      <w:lvlText w:val=""/>
      <w:lvlJc w:val="left"/>
      <w:pPr>
        <w:tabs>
          <w:tab w:val="num" w:pos="720"/>
        </w:tabs>
        <w:ind w:left="720" w:hanging="360"/>
      </w:pPr>
      <w:rPr>
        <w:rFonts w:ascii="Wingdings" w:hAnsi="Wingdings" w:hint="default"/>
      </w:rPr>
    </w:lvl>
    <w:lvl w:ilvl="1" w:tplc="C20A9890" w:tentative="1">
      <w:start w:val="1"/>
      <w:numFmt w:val="bullet"/>
      <w:lvlText w:val=""/>
      <w:lvlJc w:val="left"/>
      <w:pPr>
        <w:tabs>
          <w:tab w:val="num" w:pos="1440"/>
        </w:tabs>
        <w:ind w:left="1440" w:hanging="360"/>
      </w:pPr>
      <w:rPr>
        <w:rFonts w:ascii="Wingdings" w:hAnsi="Wingdings" w:hint="default"/>
      </w:rPr>
    </w:lvl>
    <w:lvl w:ilvl="2" w:tplc="4F70062C" w:tentative="1">
      <w:start w:val="1"/>
      <w:numFmt w:val="bullet"/>
      <w:lvlText w:val=""/>
      <w:lvlJc w:val="left"/>
      <w:pPr>
        <w:tabs>
          <w:tab w:val="num" w:pos="2160"/>
        </w:tabs>
        <w:ind w:left="2160" w:hanging="360"/>
      </w:pPr>
      <w:rPr>
        <w:rFonts w:ascii="Wingdings" w:hAnsi="Wingdings" w:hint="default"/>
      </w:rPr>
    </w:lvl>
    <w:lvl w:ilvl="3" w:tplc="3F5895BC" w:tentative="1">
      <w:start w:val="1"/>
      <w:numFmt w:val="bullet"/>
      <w:lvlText w:val=""/>
      <w:lvlJc w:val="left"/>
      <w:pPr>
        <w:tabs>
          <w:tab w:val="num" w:pos="2880"/>
        </w:tabs>
        <w:ind w:left="2880" w:hanging="360"/>
      </w:pPr>
      <w:rPr>
        <w:rFonts w:ascii="Wingdings" w:hAnsi="Wingdings" w:hint="default"/>
      </w:rPr>
    </w:lvl>
    <w:lvl w:ilvl="4" w:tplc="E6B42906" w:tentative="1">
      <w:start w:val="1"/>
      <w:numFmt w:val="bullet"/>
      <w:lvlText w:val=""/>
      <w:lvlJc w:val="left"/>
      <w:pPr>
        <w:tabs>
          <w:tab w:val="num" w:pos="3600"/>
        </w:tabs>
        <w:ind w:left="3600" w:hanging="360"/>
      </w:pPr>
      <w:rPr>
        <w:rFonts w:ascii="Wingdings" w:hAnsi="Wingdings" w:hint="default"/>
      </w:rPr>
    </w:lvl>
    <w:lvl w:ilvl="5" w:tplc="49940694" w:tentative="1">
      <w:start w:val="1"/>
      <w:numFmt w:val="bullet"/>
      <w:lvlText w:val=""/>
      <w:lvlJc w:val="left"/>
      <w:pPr>
        <w:tabs>
          <w:tab w:val="num" w:pos="4320"/>
        </w:tabs>
        <w:ind w:left="4320" w:hanging="360"/>
      </w:pPr>
      <w:rPr>
        <w:rFonts w:ascii="Wingdings" w:hAnsi="Wingdings" w:hint="default"/>
      </w:rPr>
    </w:lvl>
    <w:lvl w:ilvl="6" w:tplc="984C0246" w:tentative="1">
      <w:start w:val="1"/>
      <w:numFmt w:val="bullet"/>
      <w:lvlText w:val=""/>
      <w:lvlJc w:val="left"/>
      <w:pPr>
        <w:tabs>
          <w:tab w:val="num" w:pos="5040"/>
        </w:tabs>
        <w:ind w:left="5040" w:hanging="360"/>
      </w:pPr>
      <w:rPr>
        <w:rFonts w:ascii="Wingdings" w:hAnsi="Wingdings" w:hint="default"/>
      </w:rPr>
    </w:lvl>
    <w:lvl w:ilvl="7" w:tplc="82B867C2" w:tentative="1">
      <w:start w:val="1"/>
      <w:numFmt w:val="bullet"/>
      <w:lvlText w:val=""/>
      <w:lvlJc w:val="left"/>
      <w:pPr>
        <w:tabs>
          <w:tab w:val="num" w:pos="5760"/>
        </w:tabs>
        <w:ind w:left="5760" w:hanging="360"/>
      </w:pPr>
      <w:rPr>
        <w:rFonts w:ascii="Wingdings" w:hAnsi="Wingdings" w:hint="default"/>
      </w:rPr>
    </w:lvl>
    <w:lvl w:ilvl="8" w:tplc="05B8B234" w:tentative="1">
      <w:start w:val="1"/>
      <w:numFmt w:val="bullet"/>
      <w:lvlText w:val=""/>
      <w:lvlJc w:val="left"/>
      <w:pPr>
        <w:tabs>
          <w:tab w:val="num" w:pos="6480"/>
        </w:tabs>
        <w:ind w:left="6480" w:hanging="360"/>
      </w:pPr>
      <w:rPr>
        <w:rFonts w:ascii="Wingdings" w:hAnsi="Wingdings" w:hint="default"/>
      </w:rPr>
    </w:lvl>
  </w:abstractNum>
  <w:abstractNum w:abstractNumId="1">
    <w:nsid w:val="06546631"/>
    <w:multiLevelType w:val="hybridMultilevel"/>
    <w:tmpl w:val="7BA028A6"/>
    <w:lvl w:ilvl="0" w:tplc="CAC43770">
      <w:start w:val="1"/>
      <w:numFmt w:val="bullet"/>
      <w:lvlText w:val=""/>
      <w:lvlJc w:val="left"/>
      <w:pPr>
        <w:tabs>
          <w:tab w:val="num" w:pos="720"/>
        </w:tabs>
        <w:ind w:left="720" w:hanging="360"/>
      </w:pPr>
      <w:rPr>
        <w:rFonts w:ascii="Wingdings" w:hAnsi="Wingdings" w:hint="default"/>
      </w:rPr>
    </w:lvl>
    <w:lvl w:ilvl="1" w:tplc="0A92D8F4" w:tentative="1">
      <w:start w:val="1"/>
      <w:numFmt w:val="bullet"/>
      <w:lvlText w:val=""/>
      <w:lvlJc w:val="left"/>
      <w:pPr>
        <w:tabs>
          <w:tab w:val="num" w:pos="1440"/>
        </w:tabs>
        <w:ind w:left="1440" w:hanging="360"/>
      </w:pPr>
      <w:rPr>
        <w:rFonts w:ascii="Wingdings" w:hAnsi="Wingdings" w:hint="default"/>
      </w:rPr>
    </w:lvl>
    <w:lvl w:ilvl="2" w:tplc="AEAEEFD4" w:tentative="1">
      <w:start w:val="1"/>
      <w:numFmt w:val="bullet"/>
      <w:lvlText w:val=""/>
      <w:lvlJc w:val="left"/>
      <w:pPr>
        <w:tabs>
          <w:tab w:val="num" w:pos="2160"/>
        </w:tabs>
        <w:ind w:left="2160" w:hanging="360"/>
      </w:pPr>
      <w:rPr>
        <w:rFonts w:ascii="Wingdings" w:hAnsi="Wingdings" w:hint="default"/>
      </w:rPr>
    </w:lvl>
    <w:lvl w:ilvl="3" w:tplc="55FC290A" w:tentative="1">
      <w:start w:val="1"/>
      <w:numFmt w:val="bullet"/>
      <w:lvlText w:val=""/>
      <w:lvlJc w:val="left"/>
      <w:pPr>
        <w:tabs>
          <w:tab w:val="num" w:pos="2880"/>
        </w:tabs>
        <w:ind w:left="2880" w:hanging="360"/>
      </w:pPr>
      <w:rPr>
        <w:rFonts w:ascii="Wingdings" w:hAnsi="Wingdings" w:hint="default"/>
      </w:rPr>
    </w:lvl>
    <w:lvl w:ilvl="4" w:tplc="E2D47CFC" w:tentative="1">
      <w:start w:val="1"/>
      <w:numFmt w:val="bullet"/>
      <w:lvlText w:val=""/>
      <w:lvlJc w:val="left"/>
      <w:pPr>
        <w:tabs>
          <w:tab w:val="num" w:pos="3600"/>
        </w:tabs>
        <w:ind w:left="3600" w:hanging="360"/>
      </w:pPr>
      <w:rPr>
        <w:rFonts w:ascii="Wingdings" w:hAnsi="Wingdings" w:hint="default"/>
      </w:rPr>
    </w:lvl>
    <w:lvl w:ilvl="5" w:tplc="7250DB5E" w:tentative="1">
      <w:start w:val="1"/>
      <w:numFmt w:val="bullet"/>
      <w:lvlText w:val=""/>
      <w:lvlJc w:val="left"/>
      <w:pPr>
        <w:tabs>
          <w:tab w:val="num" w:pos="4320"/>
        </w:tabs>
        <w:ind w:left="4320" w:hanging="360"/>
      </w:pPr>
      <w:rPr>
        <w:rFonts w:ascii="Wingdings" w:hAnsi="Wingdings" w:hint="default"/>
      </w:rPr>
    </w:lvl>
    <w:lvl w:ilvl="6" w:tplc="5596AD4A" w:tentative="1">
      <w:start w:val="1"/>
      <w:numFmt w:val="bullet"/>
      <w:lvlText w:val=""/>
      <w:lvlJc w:val="left"/>
      <w:pPr>
        <w:tabs>
          <w:tab w:val="num" w:pos="5040"/>
        </w:tabs>
        <w:ind w:left="5040" w:hanging="360"/>
      </w:pPr>
      <w:rPr>
        <w:rFonts w:ascii="Wingdings" w:hAnsi="Wingdings" w:hint="default"/>
      </w:rPr>
    </w:lvl>
    <w:lvl w:ilvl="7" w:tplc="A2FC0552" w:tentative="1">
      <w:start w:val="1"/>
      <w:numFmt w:val="bullet"/>
      <w:lvlText w:val=""/>
      <w:lvlJc w:val="left"/>
      <w:pPr>
        <w:tabs>
          <w:tab w:val="num" w:pos="5760"/>
        </w:tabs>
        <w:ind w:left="5760" w:hanging="360"/>
      </w:pPr>
      <w:rPr>
        <w:rFonts w:ascii="Wingdings" w:hAnsi="Wingdings" w:hint="default"/>
      </w:rPr>
    </w:lvl>
    <w:lvl w:ilvl="8" w:tplc="863C1E16" w:tentative="1">
      <w:start w:val="1"/>
      <w:numFmt w:val="bullet"/>
      <w:lvlText w:val=""/>
      <w:lvlJc w:val="left"/>
      <w:pPr>
        <w:tabs>
          <w:tab w:val="num" w:pos="6480"/>
        </w:tabs>
        <w:ind w:left="6480" w:hanging="360"/>
      </w:pPr>
      <w:rPr>
        <w:rFonts w:ascii="Wingdings" w:hAnsi="Wingdings" w:hint="default"/>
      </w:rPr>
    </w:lvl>
  </w:abstractNum>
  <w:abstractNum w:abstractNumId="2">
    <w:nsid w:val="0D220736"/>
    <w:multiLevelType w:val="hybridMultilevel"/>
    <w:tmpl w:val="B210B90C"/>
    <w:lvl w:ilvl="0" w:tplc="91A60D84">
      <w:start w:val="1"/>
      <w:numFmt w:val="bullet"/>
      <w:lvlText w:val=""/>
      <w:lvlJc w:val="left"/>
      <w:pPr>
        <w:tabs>
          <w:tab w:val="num" w:pos="720"/>
        </w:tabs>
        <w:ind w:left="720" w:hanging="360"/>
      </w:pPr>
      <w:rPr>
        <w:rFonts w:ascii="Wingdings" w:hAnsi="Wingdings" w:hint="default"/>
      </w:rPr>
    </w:lvl>
    <w:lvl w:ilvl="1" w:tplc="E1B09EC4" w:tentative="1">
      <w:start w:val="1"/>
      <w:numFmt w:val="bullet"/>
      <w:lvlText w:val=""/>
      <w:lvlJc w:val="left"/>
      <w:pPr>
        <w:tabs>
          <w:tab w:val="num" w:pos="1440"/>
        </w:tabs>
        <w:ind w:left="1440" w:hanging="360"/>
      </w:pPr>
      <w:rPr>
        <w:rFonts w:ascii="Wingdings" w:hAnsi="Wingdings" w:hint="default"/>
      </w:rPr>
    </w:lvl>
    <w:lvl w:ilvl="2" w:tplc="66ECEE1C" w:tentative="1">
      <w:start w:val="1"/>
      <w:numFmt w:val="bullet"/>
      <w:lvlText w:val=""/>
      <w:lvlJc w:val="left"/>
      <w:pPr>
        <w:tabs>
          <w:tab w:val="num" w:pos="2160"/>
        </w:tabs>
        <w:ind w:left="2160" w:hanging="360"/>
      </w:pPr>
      <w:rPr>
        <w:rFonts w:ascii="Wingdings" w:hAnsi="Wingdings" w:hint="default"/>
      </w:rPr>
    </w:lvl>
    <w:lvl w:ilvl="3" w:tplc="42E2613A" w:tentative="1">
      <w:start w:val="1"/>
      <w:numFmt w:val="bullet"/>
      <w:lvlText w:val=""/>
      <w:lvlJc w:val="left"/>
      <w:pPr>
        <w:tabs>
          <w:tab w:val="num" w:pos="2880"/>
        </w:tabs>
        <w:ind w:left="2880" w:hanging="360"/>
      </w:pPr>
      <w:rPr>
        <w:rFonts w:ascii="Wingdings" w:hAnsi="Wingdings" w:hint="default"/>
      </w:rPr>
    </w:lvl>
    <w:lvl w:ilvl="4" w:tplc="7AB022AE" w:tentative="1">
      <w:start w:val="1"/>
      <w:numFmt w:val="bullet"/>
      <w:lvlText w:val=""/>
      <w:lvlJc w:val="left"/>
      <w:pPr>
        <w:tabs>
          <w:tab w:val="num" w:pos="3600"/>
        </w:tabs>
        <w:ind w:left="3600" w:hanging="360"/>
      </w:pPr>
      <w:rPr>
        <w:rFonts w:ascii="Wingdings" w:hAnsi="Wingdings" w:hint="default"/>
      </w:rPr>
    </w:lvl>
    <w:lvl w:ilvl="5" w:tplc="C966F240" w:tentative="1">
      <w:start w:val="1"/>
      <w:numFmt w:val="bullet"/>
      <w:lvlText w:val=""/>
      <w:lvlJc w:val="left"/>
      <w:pPr>
        <w:tabs>
          <w:tab w:val="num" w:pos="4320"/>
        </w:tabs>
        <w:ind w:left="4320" w:hanging="360"/>
      </w:pPr>
      <w:rPr>
        <w:rFonts w:ascii="Wingdings" w:hAnsi="Wingdings" w:hint="default"/>
      </w:rPr>
    </w:lvl>
    <w:lvl w:ilvl="6" w:tplc="2D080DEC" w:tentative="1">
      <w:start w:val="1"/>
      <w:numFmt w:val="bullet"/>
      <w:lvlText w:val=""/>
      <w:lvlJc w:val="left"/>
      <w:pPr>
        <w:tabs>
          <w:tab w:val="num" w:pos="5040"/>
        </w:tabs>
        <w:ind w:left="5040" w:hanging="360"/>
      </w:pPr>
      <w:rPr>
        <w:rFonts w:ascii="Wingdings" w:hAnsi="Wingdings" w:hint="default"/>
      </w:rPr>
    </w:lvl>
    <w:lvl w:ilvl="7" w:tplc="7BD621BC" w:tentative="1">
      <w:start w:val="1"/>
      <w:numFmt w:val="bullet"/>
      <w:lvlText w:val=""/>
      <w:lvlJc w:val="left"/>
      <w:pPr>
        <w:tabs>
          <w:tab w:val="num" w:pos="5760"/>
        </w:tabs>
        <w:ind w:left="5760" w:hanging="360"/>
      </w:pPr>
      <w:rPr>
        <w:rFonts w:ascii="Wingdings" w:hAnsi="Wingdings" w:hint="default"/>
      </w:rPr>
    </w:lvl>
    <w:lvl w:ilvl="8" w:tplc="6D9A22A6" w:tentative="1">
      <w:start w:val="1"/>
      <w:numFmt w:val="bullet"/>
      <w:lvlText w:val=""/>
      <w:lvlJc w:val="left"/>
      <w:pPr>
        <w:tabs>
          <w:tab w:val="num" w:pos="6480"/>
        </w:tabs>
        <w:ind w:left="6480" w:hanging="360"/>
      </w:pPr>
      <w:rPr>
        <w:rFonts w:ascii="Wingdings" w:hAnsi="Wingdings" w:hint="default"/>
      </w:rPr>
    </w:lvl>
  </w:abstractNum>
  <w:abstractNum w:abstractNumId="3">
    <w:nsid w:val="0DB333AE"/>
    <w:multiLevelType w:val="hybridMultilevel"/>
    <w:tmpl w:val="B9E63A36"/>
    <w:lvl w:ilvl="0" w:tplc="AECC362A">
      <w:start w:val="1"/>
      <w:numFmt w:val="bullet"/>
      <w:lvlText w:val=""/>
      <w:lvlJc w:val="left"/>
      <w:pPr>
        <w:tabs>
          <w:tab w:val="num" w:pos="720"/>
        </w:tabs>
        <w:ind w:left="720" w:hanging="360"/>
      </w:pPr>
      <w:rPr>
        <w:rFonts w:ascii="Wingdings" w:hAnsi="Wingdings" w:hint="default"/>
      </w:rPr>
    </w:lvl>
    <w:lvl w:ilvl="1" w:tplc="722C885C" w:tentative="1">
      <w:start w:val="1"/>
      <w:numFmt w:val="bullet"/>
      <w:lvlText w:val=""/>
      <w:lvlJc w:val="left"/>
      <w:pPr>
        <w:tabs>
          <w:tab w:val="num" w:pos="1440"/>
        </w:tabs>
        <w:ind w:left="1440" w:hanging="360"/>
      </w:pPr>
      <w:rPr>
        <w:rFonts w:ascii="Wingdings" w:hAnsi="Wingdings" w:hint="default"/>
      </w:rPr>
    </w:lvl>
    <w:lvl w:ilvl="2" w:tplc="C7EC4F68" w:tentative="1">
      <w:start w:val="1"/>
      <w:numFmt w:val="bullet"/>
      <w:lvlText w:val=""/>
      <w:lvlJc w:val="left"/>
      <w:pPr>
        <w:tabs>
          <w:tab w:val="num" w:pos="2160"/>
        </w:tabs>
        <w:ind w:left="2160" w:hanging="360"/>
      </w:pPr>
      <w:rPr>
        <w:rFonts w:ascii="Wingdings" w:hAnsi="Wingdings" w:hint="default"/>
      </w:rPr>
    </w:lvl>
    <w:lvl w:ilvl="3" w:tplc="BA48CE7C" w:tentative="1">
      <w:start w:val="1"/>
      <w:numFmt w:val="bullet"/>
      <w:lvlText w:val=""/>
      <w:lvlJc w:val="left"/>
      <w:pPr>
        <w:tabs>
          <w:tab w:val="num" w:pos="2880"/>
        </w:tabs>
        <w:ind w:left="2880" w:hanging="360"/>
      </w:pPr>
      <w:rPr>
        <w:rFonts w:ascii="Wingdings" w:hAnsi="Wingdings" w:hint="default"/>
      </w:rPr>
    </w:lvl>
    <w:lvl w:ilvl="4" w:tplc="EF0E84F2" w:tentative="1">
      <w:start w:val="1"/>
      <w:numFmt w:val="bullet"/>
      <w:lvlText w:val=""/>
      <w:lvlJc w:val="left"/>
      <w:pPr>
        <w:tabs>
          <w:tab w:val="num" w:pos="3600"/>
        </w:tabs>
        <w:ind w:left="3600" w:hanging="360"/>
      </w:pPr>
      <w:rPr>
        <w:rFonts w:ascii="Wingdings" w:hAnsi="Wingdings" w:hint="default"/>
      </w:rPr>
    </w:lvl>
    <w:lvl w:ilvl="5" w:tplc="BBF2D68E" w:tentative="1">
      <w:start w:val="1"/>
      <w:numFmt w:val="bullet"/>
      <w:lvlText w:val=""/>
      <w:lvlJc w:val="left"/>
      <w:pPr>
        <w:tabs>
          <w:tab w:val="num" w:pos="4320"/>
        </w:tabs>
        <w:ind w:left="4320" w:hanging="360"/>
      </w:pPr>
      <w:rPr>
        <w:rFonts w:ascii="Wingdings" w:hAnsi="Wingdings" w:hint="default"/>
      </w:rPr>
    </w:lvl>
    <w:lvl w:ilvl="6" w:tplc="A2E6C018" w:tentative="1">
      <w:start w:val="1"/>
      <w:numFmt w:val="bullet"/>
      <w:lvlText w:val=""/>
      <w:lvlJc w:val="left"/>
      <w:pPr>
        <w:tabs>
          <w:tab w:val="num" w:pos="5040"/>
        </w:tabs>
        <w:ind w:left="5040" w:hanging="360"/>
      </w:pPr>
      <w:rPr>
        <w:rFonts w:ascii="Wingdings" w:hAnsi="Wingdings" w:hint="default"/>
      </w:rPr>
    </w:lvl>
    <w:lvl w:ilvl="7" w:tplc="D92E6A8C" w:tentative="1">
      <w:start w:val="1"/>
      <w:numFmt w:val="bullet"/>
      <w:lvlText w:val=""/>
      <w:lvlJc w:val="left"/>
      <w:pPr>
        <w:tabs>
          <w:tab w:val="num" w:pos="5760"/>
        </w:tabs>
        <w:ind w:left="5760" w:hanging="360"/>
      </w:pPr>
      <w:rPr>
        <w:rFonts w:ascii="Wingdings" w:hAnsi="Wingdings" w:hint="default"/>
      </w:rPr>
    </w:lvl>
    <w:lvl w:ilvl="8" w:tplc="E8EC2988" w:tentative="1">
      <w:start w:val="1"/>
      <w:numFmt w:val="bullet"/>
      <w:lvlText w:val=""/>
      <w:lvlJc w:val="left"/>
      <w:pPr>
        <w:tabs>
          <w:tab w:val="num" w:pos="6480"/>
        </w:tabs>
        <w:ind w:left="6480" w:hanging="360"/>
      </w:pPr>
      <w:rPr>
        <w:rFonts w:ascii="Wingdings" w:hAnsi="Wingdings" w:hint="default"/>
      </w:rPr>
    </w:lvl>
  </w:abstractNum>
  <w:abstractNum w:abstractNumId="4">
    <w:nsid w:val="114F3F6E"/>
    <w:multiLevelType w:val="hybridMultilevel"/>
    <w:tmpl w:val="28AE05BE"/>
    <w:lvl w:ilvl="0" w:tplc="9842A93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21376DB"/>
    <w:multiLevelType w:val="hybridMultilevel"/>
    <w:tmpl w:val="DF820B5E"/>
    <w:lvl w:ilvl="0" w:tplc="08090001">
      <w:start w:val="1"/>
      <w:numFmt w:val="bullet"/>
      <w:lvlText w:val=""/>
      <w:lvlJc w:val="left"/>
      <w:pPr>
        <w:tabs>
          <w:tab w:val="num" w:pos="720"/>
        </w:tabs>
        <w:ind w:left="720" w:hanging="360"/>
      </w:pPr>
      <w:rPr>
        <w:rFonts w:ascii="Symbol" w:hAnsi="Symbol" w:hint="default"/>
      </w:rPr>
    </w:lvl>
    <w:lvl w:ilvl="1" w:tplc="8E6E80D2" w:tentative="1">
      <w:start w:val="1"/>
      <w:numFmt w:val="bullet"/>
      <w:lvlText w:val=""/>
      <w:lvlJc w:val="left"/>
      <w:pPr>
        <w:tabs>
          <w:tab w:val="num" w:pos="1440"/>
        </w:tabs>
        <w:ind w:left="1440" w:hanging="360"/>
      </w:pPr>
      <w:rPr>
        <w:rFonts w:ascii="Wingdings" w:hAnsi="Wingdings" w:hint="default"/>
      </w:rPr>
    </w:lvl>
    <w:lvl w:ilvl="2" w:tplc="9920D860" w:tentative="1">
      <w:start w:val="1"/>
      <w:numFmt w:val="bullet"/>
      <w:lvlText w:val=""/>
      <w:lvlJc w:val="left"/>
      <w:pPr>
        <w:tabs>
          <w:tab w:val="num" w:pos="2160"/>
        </w:tabs>
        <w:ind w:left="2160" w:hanging="360"/>
      </w:pPr>
      <w:rPr>
        <w:rFonts w:ascii="Wingdings" w:hAnsi="Wingdings" w:hint="default"/>
      </w:rPr>
    </w:lvl>
    <w:lvl w:ilvl="3" w:tplc="6E089712" w:tentative="1">
      <w:start w:val="1"/>
      <w:numFmt w:val="bullet"/>
      <w:lvlText w:val=""/>
      <w:lvlJc w:val="left"/>
      <w:pPr>
        <w:tabs>
          <w:tab w:val="num" w:pos="2880"/>
        </w:tabs>
        <w:ind w:left="2880" w:hanging="360"/>
      </w:pPr>
      <w:rPr>
        <w:rFonts w:ascii="Wingdings" w:hAnsi="Wingdings" w:hint="default"/>
      </w:rPr>
    </w:lvl>
    <w:lvl w:ilvl="4" w:tplc="2EC494FE" w:tentative="1">
      <w:start w:val="1"/>
      <w:numFmt w:val="bullet"/>
      <w:lvlText w:val=""/>
      <w:lvlJc w:val="left"/>
      <w:pPr>
        <w:tabs>
          <w:tab w:val="num" w:pos="3600"/>
        </w:tabs>
        <w:ind w:left="3600" w:hanging="360"/>
      </w:pPr>
      <w:rPr>
        <w:rFonts w:ascii="Wingdings" w:hAnsi="Wingdings" w:hint="default"/>
      </w:rPr>
    </w:lvl>
    <w:lvl w:ilvl="5" w:tplc="68EA6732" w:tentative="1">
      <w:start w:val="1"/>
      <w:numFmt w:val="bullet"/>
      <w:lvlText w:val=""/>
      <w:lvlJc w:val="left"/>
      <w:pPr>
        <w:tabs>
          <w:tab w:val="num" w:pos="4320"/>
        </w:tabs>
        <w:ind w:left="4320" w:hanging="360"/>
      </w:pPr>
      <w:rPr>
        <w:rFonts w:ascii="Wingdings" w:hAnsi="Wingdings" w:hint="default"/>
      </w:rPr>
    </w:lvl>
    <w:lvl w:ilvl="6" w:tplc="7E283E38" w:tentative="1">
      <w:start w:val="1"/>
      <w:numFmt w:val="bullet"/>
      <w:lvlText w:val=""/>
      <w:lvlJc w:val="left"/>
      <w:pPr>
        <w:tabs>
          <w:tab w:val="num" w:pos="5040"/>
        </w:tabs>
        <w:ind w:left="5040" w:hanging="360"/>
      </w:pPr>
      <w:rPr>
        <w:rFonts w:ascii="Wingdings" w:hAnsi="Wingdings" w:hint="default"/>
      </w:rPr>
    </w:lvl>
    <w:lvl w:ilvl="7" w:tplc="5C28C1EE" w:tentative="1">
      <w:start w:val="1"/>
      <w:numFmt w:val="bullet"/>
      <w:lvlText w:val=""/>
      <w:lvlJc w:val="left"/>
      <w:pPr>
        <w:tabs>
          <w:tab w:val="num" w:pos="5760"/>
        </w:tabs>
        <w:ind w:left="5760" w:hanging="360"/>
      </w:pPr>
      <w:rPr>
        <w:rFonts w:ascii="Wingdings" w:hAnsi="Wingdings" w:hint="default"/>
      </w:rPr>
    </w:lvl>
    <w:lvl w:ilvl="8" w:tplc="6D4C9EAA" w:tentative="1">
      <w:start w:val="1"/>
      <w:numFmt w:val="bullet"/>
      <w:lvlText w:val=""/>
      <w:lvlJc w:val="left"/>
      <w:pPr>
        <w:tabs>
          <w:tab w:val="num" w:pos="6480"/>
        </w:tabs>
        <w:ind w:left="6480" w:hanging="360"/>
      </w:pPr>
      <w:rPr>
        <w:rFonts w:ascii="Wingdings" w:hAnsi="Wingdings" w:hint="default"/>
      </w:rPr>
    </w:lvl>
  </w:abstractNum>
  <w:abstractNum w:abstractNumId="6">
    <w:nsid w:val="241C0135"/>
    <w:multiLevelType w:val="hybridMultilevel"/>
    <w:tmpl w:val="F448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263A69"/>
    <w:multiLevelType w:val="hybridMultilevel"/>
    <w:tmpl w:val="1270A336"/>
    <w:lvl w:ilvl="0" w:tplc="08090001">
      <w:start w:val="1"/>
      <w:numFmt w:val="bullet"/>
      <w:lvlText w:val=""/>
      <w:lvlJc w:val="left"/>
      <w:pPr>
        <w:tabs>
          <w:tab w:val="num" w:pos="720"/>
        </w:tabs>
        <w:ind w:left="720" w:hanging="360"/>
      </w:pPr>
      <w:rPr>
        <w:rFonts w:ascii="Symbol" w:hAnsi="Symbol" w:hint="default"/>
      </w:rPr>
    </w:lvl>
    <w:lvl w:ilvl="1" w:tplc="E2AC9A02">
      <w:start w:val="1"/>
      <w:numFmt w:val="bullet"/>
      <w:lvlText w:val=""/>
      <w:lvlJc w:val="left"/>
      <w:pPr>
        <w:tabs>
          <w:tab w:val="num" w:pos="1440"/>
        </w:tabs>
        <w:ind w:left="1440" w:hanging="360"/>
      </w:pPr>
      <w:rPr>
        <w:rFonts w:ascii="Wingdings" w:hAnsi="Wingdings" w:hint="default"/>
      </w:rPr>
    </w:lvl>
    <w:lvl w:ilvl="2" w:tplc="D110F018" w:tentative="1">
      <w:start w:val="1"/>
      <w:numFmt w:val="bullet"/>
      <w:lvlText w:val=""/>
      <w:lvlJc w:val="left"/>
      <w:pPr>
        <w:tabs>
          <w:tab w:val="num" w:pos="2160"/>
        </w:tabs>
        <w:ind w:left="2160" w:hanging="360"/>
      </w:pPr>
      <w:rPr>
        <w:rFonts w:ascii="Wingdings" w:hAnsi="Wingdings" w:hint="default"/>
      </w:rPr>
    </w:lvl>
    <w:lvl w:ilvl="3" w:tplc="5A30635C" w:tentative="1">
      <w:start w:val="1"/>
      <w:numFmt w:val="bullet"/>
      <w:lvlText w:val=""/>
      <w:lvlJc w:val="left"/>
      <w:pPr>
        <w:tabs>
          <w:tab w:val="num" w:pos="2880"/>
        </w:tabs>
        <w:ind w:left="2880" w:hanging="360"/>
      </w:pPr>
      <w:rPr>
        <w:rFonts w:ascii="Wingdings" w:hAnsi="Wingdings" w:hint="default"/>
      </w:rPr>
    </w:lvl>
    <w:lvl w:ilvl="4" w:tplc="519AFAE0" w:tentative="1">
      <w:start w:val="1"/>
      <w:numFmt w:val="bullet"/>
      <w:lvlText w:val=""/>
      <w:lvlJc w:val="left"/>
      <w:pPr>
        <w:tabs>
          <w:tab w:val="num" w:pos="3600"/>
        </w:tabs>
        <w:ind w:left="3600" w:hanging="360"/>
      </w:pPr>
      <w:rPr>
        <w:rFonts w:ascii="Wingdings" w:hAnsi="Wingdings" w:hint="default"/>
      </w:rPr>
    </w:lvl>
    <w:lvl w:ilvl="5" w:tplc="FDDC77F0" w:tentative="1">
      <w:start w:val="1"/>
      <w:numFmt w:val="bullet"/>
      <w:lvlText w:val=""/>
      <w:lvlJc w:val="left"/>
      <w:pPr>
        <w:tabs>
          <w:tab w:val="num" w:pos="4320"/>
        </w:tabs>
        <w:ind w:left="4320" w:hanging="360"/>
      </w:pPr>
      <w:rPr>
        <w:rFonts w:ascii="Wingdings" w:hAnsi="Wingdings" w:hint="default"/>
      </w:rPr>
    </w:lvl>
    <w:lvl w:ilvl="6" w:tplc="A1663DDC" w:tentative="1">
      <w:start w:val="1"/>
      <w:numFmt w:val="bullet"/>
      <w:lvlText w:val=""/>
      <w:lvlJc w:val="left"/>
      <w:pPr>
        <w:tabs>
          <w:tab w:val="num" w:pos="5040"/>
        </w:tabs>
        <w:ind w:left="5040" w:hanging="360"/>
      </w:pPr>
      <w:rPr>
        <w:rFonts w:ascii="Wingdings" w:hAnsi="Wingdings" w:hint="default"/>
      </w:rPr>
    </w:lvl>
    <w:lvl w:ilvl="7" w:tplc="AC1ACD80" w:tentative="1">
      <w:start w:val="1"/>
      <w:numFmt w:val="bullet"/>
      <w:lvlText w:val=""/>
      <w:lvlJc w:val="left"/>
      <w:pPr>
        <w:tabs>
          <w:tab w:val="num" w:pos="5760"/>
        </w:tabs>
        <w:ind w:left="5760" w:hanging="360"/>
      </w:pPr>
      <w:rPr>
        <w:rFonts w:ascii="Wingdings" w:hAnsi="Wingdings" w:hint="default"/>
      </w:rPr>
    </w:lvl>
    <w:lvl w:ilvl="8" w:tplc="2EEEB7E8" w:tentative="1">
      <w:start w:val="1"/>
      <w:numFmt w:val="bullet"/>
      <w:lvlText w:val=""/>
      <w:lvlJc w:val="left"/>
      <w:pPr>
        <w:tabs>
          <w:tab w:val="num" w:pos="6480"/>
        </w:tabs>
        <w:ind w:left="6480" w:hanging="360"/>
      </w:pPr>
      <w:rPr>
        <w:rFonts w:ascii="Wingdings" w:hAnsi="Wingdings" w:hint="default"/>
      </w:rPr>
    </w:lvl>
  </w:abstractNum>
  <w:abstractNum w:abstractNumId="8">
    <w:nsid w:val="35791AD4"/>
    <w:multiLevelType w:val="hybridMultilevel"/>
    <w:tmpl w:val="BE62424E"/>
    <w:lvl w:ilvl="0" w:tplc="029C7238">
      <w:start w:val="1"/>
      <w:numFmt w:val="bullet"/>
      <w:lvlText w:val=""/>
      <w:lvlJc w:val="left"/>
      <w:pPr>
        <w:tabs>
          <w:tab w:val="num" w:pos="720"/>
        </w:tabs>
        <w:ind w:left="720" w:hanging="360"/>
      </w:pPr>
      <w:rPr>
        <w:rFonts w:ascii="Wingdings" w:hAnsi="Wingdings" w:hint="default"/>
      </w:rPr>
    </w:lvl>
    <w:lvl w:ilvl="1" w:tplc="62F4872A">
      <w:start w:val="952"/>
      <w:numFmt w:val="bullet"/>
      <w:lvlText w:val=""/>
      <w:lvlJc w:val="left"/>
      <w:pPr>
        <w:tabs>
          <w:tab w:val="num" w:pos="1440"/>
        </w:tabs>
        <w:ind w:left="1440" w:hanging="360"/>
      </w:pPr>
      <w:rPr>
        <w:rFonts w:ascii="Wingdings" w:hAnsi="Wingdings" w:hint="default"/>
      </w:rPr>
    </w:lvl>
    <w:lvl w:ilvl="2" w:tplc="DD22E24E" w:tentative="1">
      <w:start w:val="1"/>
      <w:numFmt w:val="bullet"/>
      <w:lvlText w:val=""/>
      <w:lvlJc w:val="left"/>
      <w:pPr>
        <w:tabs>
          <w:tab w:val="num" w:pos="2160"/>
        </w:tabs>
        <w:ind w:left="2160" w:hanging="360"/>
      </w:pPr>
      <w:rPr>
        <w:rFonts w:ascii="Wingdings" w:hAnsi="Wingdings" w:hint="default"/>
      </w:rPr>
    </w:lvl>
    <w:lvl w:ilvl="3" w:tplc="7C347BA6" w:tentative="1">
      <w:start w:val="1"/>
      <w:numFmt w:val="bullet"/>
      <w:lvlText w:val=""/>
      <w:lvlJc w:val="left"/>
      <w:pPr>
        <w:tabs>
          <w:tab w:val="num" w:pos="2880"/>
        </w:tabs>
        <w:ind w:left="2880" w:hanging="360"/>
      </w:pPr>
      <w:rPr>
        <w:rFonts w:ascii="Wingdings" w:hAnsi="Wingdings" w:hint="default"/>
      </w:rPr>
    </w:lvl>
    <w:lvl w:ilvl="4" w:tplc="31448F00" w:tentative="1">
      <w:start w:val="1"/>
      <w:numFmt w:val="bullet"/>
      <w:lvlText w:val=""/>
      <w:lvlJc w:val="left"/>
      <w:pPr>
        <w:tabs>
          <w:tab w:val="num" w:pos="3600"/>
        </w:tabs>
        <w:ind w:left="3600" w:hanging="360"/>
      </w:pPr>
      <w:rPr>
        <w:rFonts w:ascii="Wingdings" w:hAnsi="Wingdings" w:hint="default"/>
      </w:rPr>
    </w:lvl>
    <w:lvl w:ilvl="5" w:tplc="7D1ACBE0" w:tentative="1">
      <w:start w:val="1"/>
      <w:numFmt w:val="bullet"/>
      <w:lvlText w:val=""/>
      <w:lvlJc w:val="left"/>
      <w:pPr>
        <w:tabs>
          <w:tab w:val="num" w:pos="4320"/>
        </w:tabs>
        <w:ind w:left="4320" w:hanging="360"/>
      </w:pPr>
      <w:rPr>
        <w:rFonts w:ascii="Wingdings" w:hAnsi="Wingdings" w:hint="default"/>
      </w:rPr>
    </w:lvl>
    <w:lvl w:ilvl="6" w:tplc="F822C3F4" w:tentative="1">
      <w:start w:val="1"/>
      <w:numFmt w:val="bullet"/>
      <w:lvlText w:val=""/>
      <w:lvlJc w:val="left"/>
      <w:pPr>
        <w:tabs>
          <w:tab w:val="num" w:pos="5040"/>
        </w:tabs>
        <w:ind w:left="5040" w:hanging="360"/>
      </w:pPr>
      <w:rPr>
        <w:rFonts w:ascii="Wingdings" w:hAnsi="Wingdings" w:hint="default"/>
      </w:rPr>
    </w:lvl>
    <w:lvl w:ilvl="7" w:tplc="DF4C1D52" w:tentative="1">
      <w:start w:val="1"/>
      <w:numFmt w:val="bullet"/>
      <w:lvlText w:val=""/>
      <w:lvlJc w:val="left"/>
      <w:pPr>
        <w:tabs>
          <w:tab w:val="num" w:pos="5760"/>
        </w:tabs>
        <w:ind w:left="5760" w:hanging="360"/>
      </w:pPr>
      <w:rPr>
        <w:rFonts w:ascii="Wingdings" w:hAnsi="Wingdings" w:hint="default"/>
      </w:rPr>
    </w:lvl>
    <w:lvl w:ilvl="8" w:tplc="3A38D61E" w:tentative="1">
      <w:start w:val="1"/>
      <w:numFmt w:val="bullet"/>
      <w:lvlText w:val=""/>
      <w:lvlJc w:val="left"/>
      <w:pPr>
        <w:tabs>
          <w:tab w:val="num" w:pos="6480"/>
        </w:tabs>
        <w:ind w:left="6480" w:hanging="360"/>
      </w:pPr>
      <w:rPr>
        <w:rFonts w:ascii="Wingdings" w:hAnsi="Wingdings" w:hint="default"/>
      </w:rPr>
    </w:lvl>
  </w:abstractNum>
  <w:abstractNum w:abstractNumId="9">
    <w:nsid w:val="38F67B76"/>
    <w:multiLevelType w:val="hybridMultilevel"/>
    <w:tmpl w:val="40D8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22DAF"/>
    <w:multiLevelType w:val="hybridMultilevel"/>
    <w:tmpl w:val="A7FC0EA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nsid w:val="39F3704E"/>
    <w:multiLevelType w:val="hybridMultilevel"/>
    <w:tmpl w:val="61D8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7F4F18"/>
    <w:multiLevelType w:val="hybridMultilevel"/>
    <w:tmpl w:val="1AEADA2C"/>
    <w:lvl w:ilvl="0" w:tplc="7BB42EA4">
      <w:start w:val="1"/>
      <w:numFmt w:val="bullet"/>
      <w:lvlText w:val=""/>
      <w:lvlJc w:val="left"/>
      <w:pPr>
        <w:tabs>
          <w:tab w:val="num" w:pos="720"/>
        </w:tabs>
        <w:ind w:left="720" w:hanging="360"/>
      </w:pPr>
      <w:rPr>
        <w:rFonts w:ascii="Wingdings" w:hAnsi="Wingdings" w:hint="default"/>
      </w:rPr>
    </w:lvl>
    <w:lvl w:ilvl="1" w:tplc="D6D898D8" w:tentative="1">
      <w:start w:val="1"/>
      <w:numFmt w:val="bullet"/>
      <w:lvlText w:val=""/>
      <w:lvlJc w:val="left"/>
      <w:pPr>
        <w:tabs>
          <w:tab w:val="num" w:pos="1440"/>
        </w:tabs>
        <w:ind w:left="1440" w:hanging="360"/>
      </w:pPr>
      <w:rPr>
        <w:rFonts w:ascii="Wingdings" w:hAnsi="Wingdings" w:hint="default"/>
      </w:rPr>
    </w:lvl>
    <w:lvl w:ilvl="2" w:tplc="178A6D2C" w:tentative="1">
      <w:start w:val="1"/>
      <w:numFmt w:val="bullet"/>
      <w:lvlText w:val=""/>
      <w:lvlJc w:val="left"/>
      <w:pPr>
        <w:tabs>
          <w:tab w:val="num" w:pos="2160"/>
        </w:tabs>
        <w:ind w:left="2160" w:hanging="360"/>
      </w:pPr>
      <w:rPr>
        <w:rFonts w:ascii="Wingdings" w:hAnsi="Wingdings" w:hint="default"/>
      </w:rPr>
    </w:lvl>
    <w:lvl w:ilvl="3" w:tplc="87F2DCF0" w:tentative="1">
      <w:start w:val="1"/>
      <w:numFmt w:val="bullet"/>
      <w:lvlText w:val=""/>
      <w:lvlJc w:val="left"/>
      <w:pPr>
        <w:tabs>
          <w:tab w:val="num" w:pos="2880"/>
        </w:tabs>
        <w:ind w:left="2880" w:hanging="360"/>
      </w:pPr>
      <w:rPr>
        <w:rFonts w:ascii="Wingdings" w:hAnsi="Wingdings" w:hint="default"/>
      </w:rPr>
    </w:lvl>
    <w:lvl w:ilvl="4" w:tplc="80C0B9EC" w:tentative="1">
      <w:start w:val="1"/>
      <w:numFmt w:val="bullet"/>
      <w:lvlText w:val=""/>
      <w:lvlJc w:val="left"/>
      <w:pPr>
        <w:tabs>
          <w:tab w:val="num" w:pos="3600"/>
        </w:tabs>
        <w:ind w:left="3600" w:hanging="360"/>
      </w:pPr>
      <w:rPr>
        <w:rFonts w:ascii="Wingdings" w:hAnsi="Wingdings" w:hint="default"/>
      </w:rPr>
    </w:lvl>
    <w:lvl w:ilvl="5" w:tplc="0AE09714" w:tentative="1">
      <w:start w:val="1"/>
      <w:numFmt w:val="bullet"/>
      <w:lvlText w:val=""/>
      <w:lvlJc w:val="left"/>
      <w:pPr>
        <w:tabs>
          <w:tab w:val="num" w:pos="4320"/>
        </w:tabs>
        <w:ind w:left="4320" w:hanging="360"/>
      </w:pPr>
      <w:rPr>
        <w:rFonts w:ascii="Wingdings" w:hAnsi="Wingdings" w:hint="default"/>
      </w:rPr>
    </w:lvl>
    <w:lvl w:ilvl="6" w:tplc="536243FC" w:tentative="1">
      <w:start w:val="1"/>
      <w:numFmt w:val="bullet"/>
      <w:lvlText w:val=""/>
      <w:lvlJc w:val="left"/>
      <w:pPr>
        <w:tabs>
          <w:tab w:val="num" w:pos="5040"/>
        </w:tabs>
        <w:ind w:left="5040" w:hanging="360"/>
      </w:pPr>
      <w:rPr>
        <w:rFonts w:ascii="Wingdings" w:hAnsi="Wingdings" w:hint="default"/>
      </w:rPr>
    </w:lvl>
    <w:lvl w:ilvl="7" w:tplc="830033B0" w:tentative="1">
      <w:start w:val="1"/>
      <w:numFmt w:val="bullet"/>
      <w:lvlText w:val=""/>
      <w:lvlJc w:val="left"/>
      <w:pPr>
        <w:tabs>
          <w:tab w:val="num" w:pos="5760"/>
        </w:tabs>
        <w:ind w:left="5760" w:hanging="360"/>
      </w:pPr>
      <w:rPr>
        <w:rFonts w:ascii="Wingdings" w:hAnsi="Wingdings" w:hint="default"/>
      </w:rPr>
    </w:lvl>
    <w:lvl w:ilvl="8" w:tplc="61569254" w:tentative="1">
      <w:start w:val="1"/>
      <w:numFmt w:val="bullet"/>
      <w:lvlText w:val=""/>
      <w:lvlJc w:val="left"/>
      <w:pPr>
        <w:tabs>
          <w:tab w:val="num" w:pos="6480"/>
        </w:tabs>
        <w:ind w:left="6480" w:hanging="360"/>
      </w:pPr>
      <w:rPr>
        <w:rFonts w:ascii="Wingdings" w:hAnsi="Wingdings" w:hint="default"/>
      </w:rPr>
    </w:lvl>
  </w:abstractNum>
  <w:abstractNum w:abstractNumId="13">
    <w:nsid w:val="49E80C24"/>
    <w:multiLevelType w:val="hybridMultilevel"/>
    <w:tmpl w:val="019644D4"/>
    <w:lvl w:ilvl="0" w:tplc="E3249AC6">
      <w:start w:val="1"/>
      <w:numFmt w:val="bullet"/>
      <w:lvlText w:val=""/>
      <w:lvlJc w:val="left"/>
      <w:pPr>
        <w:tabs>
          <w:tab w:val="num" w:pos="720"/>
        </w:tabs>
        <w:ind w:left="720" w:hanging="360"/>
      </w:pPr>
      <w:rPr>
        <w:rFonts w:ascii="Wingdings" w:hAnsi="Wingdings" w:hint="default"/>
      </w:rPr>
    </w:lvl>
    <w:lvl w:ilvl="1" w:tplc="41E6996E" w:tentative="1">
      <w:start w:val="1"/>
      <w:numFmt w:val="bullet"/>
      <w:lvlText w:val=""/>
      <w:lvlJc w:val="left"/>
      <w:pPr>
        <w:tabs>
          <w:tab w:val="num" w:pos="1440"/>
        </w:tabs>
        <w:ind w:left="1440" w:hanging="360"/>
      </w:pPr>
      <w:rPr>
        <w:rFonts w:ascii="Wingdings" w:hAnsi="Wingdings" w:hint="default"/>
      </w:rPr>
    </w:lvl>
    <w:lvl w:ilvl="2" w:tplc="7A5A6E24" w:tentative="1">
      <w:start w:val="1"/>
      <w:numFmt w:val="bullet"/>
      <w:lvlText w:val=""/>
      <w:lvlJc w:val="left"/>
      <w:pPr>
        <w:tabs>
          <w:tab w:val="num" w:pos="2160"/>
        </w:tabs>
        <w:ind w:left="2160" w:hanging="360"/>
      </w:pPr>
      <w:rPr>
        <w:rFonts w:ascii="Wingdings" w:hAnsi="Wingdings" w:hint="default"/>
      </w:rPr>
    </w:lvl>
    <w:lvl w:ilvl="3" w:tplc="F77E61FA" w:tentative="1">
      <w:start w:val="1"/>
      <w:numFmt w:val="bullet"/>
      <w:lvlText w:val=""/>
      <w:lvlJc w:val="left"/>
      <w:pPr>
        <w:tabs>
          <w:tab w:val="num" w:pos="2880"/>
        </w:tabs>
        <w:ind w:left="2880" w:hanging="360"/>
      </w:pPr>
      <w:rPr>
        <w:rFonts w:ascii="Wingdings" w:hAnsi="Wingdings" w:hint="default"/>
      </w:rPr>
    </w:lvl>
    <w:lvl w:ilvl="4" w:tplc="24263ED4" w:tentative="1">
      <w:start w:val="1"/>
      <w:numFmt w:val="bullet"/>
      <w:lvlText w:val=""/>
      <w:lvlJc w:val="left"/>
      <w:pPr>
        <w:tabs>
          <w:tab w:val="num" w:pos="3600"/>
        </w:tabs>
        <w:ind w:left="3600" w:hanging="360"/>
      </w:pPr>
      <w:rPr>
        <w:rFonts w:ascii="Wingdings" w:hAnsi="Wingdings" w:hint="default"/>
      </w:rPr>
    </w:lvl>
    <w:lvl w:ilvl="5" w:tplc="BBBE1482" w:tentative="1">
      <w:start w:val="1"/>
      <w:numFmt w:val="bullet"/>
      <w:lvlText w:val=""/>
      <w:lvlJc w:val="left"/>
      <w:pPr>
        <w:tabs>
          <w:tab w:val="num" w:pos="4320"/>
        </w:tabs>
        <w:ind w:left="4320" w:hanging="360"/>
      </w:pPr>
      <w:rPr>
        <w:rFonts w:ascii="Wingdings" w:hAnsi="Wingdings" w:hint="default"/>
      </w:rPr>
    </w:lvl>
    <w:lvl w:ilvl="6" w:tplc="0EB6D802" w:tentative="1">
      <w:start w:val="1"/>
      <w:numFmt w:val="bullet"/>
      <w:lvlText w:val=""/>
      <w:lvlJc w:val="left"/>
      <w:pPr>
        <w:tabs>
          <w:tab w:val="num" w:pos="5040"/>
        </w:tabs>
        <w:ind w:left="5040" w:hanging="360"/>
      </w:pPr>
      <w:rPr>
        <w:rFonts w:ascii="Wingdings" w:hAnsi="Wingdings" w:hint="default"/>
      </w:rPr>
    </w:lvl>
    <w:lvl w:ilvl="7" w:tplc="5D56187A" w:tentative="1">
      <w:start w:val="1"/>
      <w:numFmt w:val="bullet"/>
      <w:lvlText w:val=""/>
      <w:lvlJc w:val="left"/>
      <w:pPr>
        <w:tabs>
          <w:tab w:val="num" w:pos="5760"/>
        </w:tabs>
        <w:ind w:left="5760" w:hanging="360"/>
      </w:pPr>
      <w:rPr>
        <w:rFonts w:ascii="Wingdings" w:hAnsi="Wingdings" w:hint="default"/>
      </w:rPr>
    </w:lvl>
    <w:lvl w:ilvl="8" w:tplc="888A79CE" w:tentative="1">
      <w:start w:val="1"/>
      <w:numFmt w:val="bullet"/>
      <w:lvlText w:val=""/>
      <w:lvlJc w:val="left"/>
      <w:pPr>
        <w:tabs>
          <w:tab w:val="num" w:pos="6480"/>
        </w:tabs>
        <w:ind w:left="6480" w:hanging="360"/>
      </w:pPr>
      <w:rPr>
        <w:rFonts w:ascii="Wingdings" w:hAnsi="Wingdings" w:hint="default"/>
      </w:rPr>
    </w:lvl>
  </w:abstractNum>
  <w:abstractNum w:abstractNumId="14">
    <w:nsid w:val="49E81111"/>
    <w:multiLevelType w:val="multilevel"/>
    <w:tmpl w:val="BE38DBE2"/>
    <w:styleLink w:val="Numbered"/>
    <w:lvl w:ilvl="0">
      <w:start w:val="1"/>
      <w:numFmt w:val="decimal"/>
      <w:lvlText w:val="%1."/>
      <w:lvlJc w:val="left"/>
      <w:pPr>
        <w:ind w:left="0" w:firstLine="0"/>
      </w:pPr>
      <w:rPr>
        <w:rFonts w:ascii="Helvetica" w:eastAsia="Helvetica" w:hAnsi="Helvetica" w:cs="Helvetica"/>
        <w:position w:val="0"/>
      </w:rPr>
    </w:lvl>
    <w:lvl w:ilvl="1">
      <w:start w:val="1"/>
      <w:numFmt w:val="decimal"/>
      <w:lvlText w:val="%2."/>
      <w:lvlJc w:val="left"/>
      <w:pPr>
        <w:ind w:left="0" w:firstLine="0"/>
      </w:pPr>
      <w:rPr>
        <w:rFonts w:ascii="Helvetica" w:eastAsia="Helvetica" w:hAnsi="Helvetica" w:cs="Helvetica"/>
        <w:position w:val="0"/>
      </w:rPr>
    </w:lvl>
    <w:lvl w:ilvl="2">
      <w:start w:val="1"/>
      <w:numFmt w:val="decimal"/>
      <w:lvlText w:val="%3."/>
      <w:lvlJc w:val="left"/>
      <w:pPr>
        <w:ind w:left="0" w:firstLine="0"/>
      </w:pPr>
      <w:rPr>
        <w:rFonts w:ascii="Helvetica" w:eastAsia="Helvetica" w:hAnsi="Helvetica" w:cs="Helvetica"/>
        <w:position w:val="0"/>
      </w:rPr>
    </w:lvl>
    <w:lvl w:ilvl="3">
      <w:start w:val="1"/>
      <w:numFmt w:val="decimal"/>
      <w:lvlText w:val="%4."/>
      <w:lvlJc w:val="left"/>
      <w:pPr>
        <w:ind w:left="0" w:firstLine="0"/>
      </w:pPr>
      <w:rPr>
        <w:rFonts w:ascii="Helvetica" w:eastAsia="Helvetica" w:hAnsi="Helvetica" w:cs="Helvetica"/>
        <w:position w:val="0"/>
      </w:rPr>
    </w:lvl>
    <w:lvl w:ilvl="4">
      <w:start w:val="1"/>
      <w:numFmt w:val="decimal"/>
      <w:lvlText w:val="%5."/>
      <w:lvlJc w:val="left"/>
      <w:pPr>
        <w:ind w:left="0" w:firstLine="0"/>
      </w:pPr>
      <w:rPr>
        <w:rFonts w:ascii="Helvetica" w:eastAsia="Helvetica" w:hAnsi="Helvetica" w:cs="Helvetica"/>
        <w:position w:val="0"/>
      </w:rPr>
    </w:lvl>
    <w:lvl w:ilvl="5">
      <w:start w:val="1"/>
      <w:numFmt w:val="decimal"/>
      <w:lvlText w:val="%6."/>
      <w:lvlJc w:val="left"/>
      <w:pPr>
        <w:ind w:left="0" w:firstLine="0"/>
      </w:pPr>
      <w:rPr>
        <w:rFonts w:ascii="Helvetica" w:eastAsia="Helvetica" w:hAnsi="Helvetica" w:cs="Helvetica"/>
        <w:position w:val="0"/>
      </w:rPr>
    </w:lvl>
    <w:lvl w:ilvl="6">
      <w:start w:val="1"/>
      <w:numFmt w:val="decimal"/>
      <w:lvlText w:val="%7."/>
      <w:lvlJc w:val="left"/>
      <w:pPr>
        <w:ind w:left="0" w:firstLine="0"/>
      </w:pPr>
      <w:rPr>
        <w:rFonts w:ascii="Helvetica" w:eastAsia="Helvetica" w:hAnsi="Helvetica" w:cs="Helvetica"/>
        <w:position w:val="0"/>
      </w:rPr>
    </w:lvl>
    <w:lvl w:ilvl="7">
      <w:start w:val="1"/>
      <w:numFmt w:val="decimal"/>
      <w:lvlText w:val="%8."/>
      <w:lvlJc w:val="left"/>
      <w:pPr>
        <w:ind w:left="0" w:firstLine="0"/>
      </w:pPr>
      <w:rPr>
        <w:rFonts w:ascii="Helvetica" w:eastAsia="Helvetica" w:hAnsi="Helvetica" w:cs="Helvetica"/>
        <w:position w:val="0"/>
      </w:rPr>
    </w:lvl>
    <w:lvl w:ilvl="8">
      <w:start w:val="1"/>
      <w:numFmt w:val="decimal"/>
      <w:lvlText w:val="%9."/>
      <w:lvlJc w:val="left"/>
      <w:pPr>
        <w:ind w:left="0" w:firstLine="0"/>
      </w:pPr>
      <w:rPr>
        <w:rFonts w:ascii="Helvetica" w:eastAsia="Helvetica" w:hAnsi="Helvetica" w:cs="Helvetica"/>
        <w:position w:val="0"/>
      </w:rPr>
    </w:lvl>
  </w:abstractNum>
  <w:abstractNum w:abstractNumId="15">
    <w:nsid w:val="4E653D70"/>
    <w:multiLevelType w:val="hybridMultilevel"/>
    <w:tmpl w:val="3FC016B0"/>
    <w:lvl w:ilvl="0" w:tplc="C096B756">
      <w:start w:val="1"/>
      <w:numFmt w:val="bullet"/>
      <w:lvlText w:val=""/>
      <w:lvlJc w:val="left"/>
      <w:pPr>
        <w:tabs>
          <w:tab w:val="num" w:pos="720"/>
        </w:tabs>
        <w:ind w:left="720" w:hanging="360"/>
      </w:pPr>
      <w:rPr>
        <w:rFonts w:ascii="Wingdings" w:hAnsi="Wingdings" w:hint="default"/>
      </w:rPr>
    </w:lvl>
    <w:lvl w:ilvl="1" w:tplc="E2AC9A02">
      <w:start w:val="1"/>
      <w:numFmt w:val="bullet"/>
      <w:lvlText w:val=""/>
      <w:lvlJc w:val="left"/>
      <w:pPr>
        <w:tabs>
          <w:tab w:val="num" w:pos="1440"/>
        </w:tabs>
        <w:ind w:left="1440" w:hanging="360"/>
      </w:pPr>
      <w:rPr>
        <w:rFonts w:ascii="Wingdings" w:hAnsi="Wingdings" w:hint="default"/>
      </w:rPr>
    </w:lvl>
    <w:lvl w:ilvl="2" w:tplc="D110F018" w:tentative="1">
      <w:start w:val="1"/>
      <w:numFmt w:val="bullet"/>
      <w:lvlText w:val=""/>
      <w:lvlJc w:val="left"/>
      <w:pPr>
        <w:tabs>
          <w:tab w:val="num" w:pos="2160"/>
        </w:tabs>
        <w:ind w:left="2160" w:hanging="360"/>
      </w:pPr>
      <w:rPr>
        <w:rFonts w:ascii="Wingdings" w:hAnsi="Wingdings" w:hint="default"/>
      </w:rPr>
    </w:lvl>
    <w:lvl w:ilvl="3" w:tplc="5A30635C" w:tentative="1">
      <w:start w:val="1"/>
      <w:numFmt w:val="bullet"/>
      <w:lvlText w:val=""/>
      <w:lvlJc w:val="left"/>
      <w:pPr>
        <w:tabs>
          <w:tab w:val="num" w:pos="2880"/>
        </w:tabs>
        <w:ind w:left="2880" w:hanging="360"/>
      </w:pPr>
      <w:rPr>
        <w:rFonts w:ascii="Wingdings" w:hAnsi="Wingdings" w:hint="default"/>
      </w:rPr>
    </w:lvl>
    <w:lvl w:ilvl="4" w:tplc="519AFAE0" w:tentative="1">
      <w:start w:val="1"/>
      <w:numFmt w:val="bullet"/>
      <w:lvlText w:val=""/>
      <w:lvlJc w:val="left"/>
      <w:pPr>
        <w:tabs>
          <w:tab w:val="num" w:pos="3600"/>
        </w:tabs>
        <w:ind w:left="3600" w:hanging="360"/>
      </w:pPr>
      <w:rPr>
        <w:rFonts w:ascii="Wingdings" w:hAnsi="Wingdings" w:hint="default"/>
      </w:rPr>
    </w:lvl>
    <w:lvl w:ilvl="5" w:tplc="FDDC77F0" w:tentative="1">
      <w:start w:val="1"/>
      <w:numFmt w:val="bullet"/>
      <w:lvlText w:val=""/>
      <w:lvlJc w:val="left"/>
      <w:pPr>
        <w:tabs>
          <w:tab w:val="num" w:pos="4320"/>
        </w:tabs>
        <w:ind w:left="4320" w:hanging="360"/>
      </w:pPr>
      <w:rPr>
        <w:rFonts w:ascii="Wingdings" w:hAnsi="Wingdings" w:hint="default"/>
      </w:rPr>
    </w:lvl>
    <w:lvl w:ilvl="6" w:tplc="A1663DDC" w:tentative="1">
      <w:start w:val="1"/>
      <w:numFmt w:val="bullet"/>
      <w:lvlText w:val=""/>
      <w:lvlJc w:val="left"/>
      <w:pPr>
        <w:tabs>
          <w:tab w:val="num" w:pos="5040"/>
        </w:tabs>
        <w:ind w:left="5040" w:hanging="360"/>
      </w:pPr>
      <w:rPr>
        <w:rFonts w:ascii="Wingdings" w:hAnsi="Wingdings" w:hint="default"/>
      </w:rPr>
    </w:lvl>
    <w:lvl w:ilvl="7" w:tplc="AC1ACD80" w:tentative="1">
      <w:start w:val="1"/>
      <w:numFmt w:val="bullet"/>
      <w:lvlText w:val=""/>
      <w:lvlJc w:val="left"/>
      <w:pPr>
        <w:tabs>
          <w:tab w:val="num" w:pos="5760"/>
        </w:tabs>
        <w:ind w:left="5760" w:hanging="360"/>
      </w:pPr>
      <w:rPr>
        <w:rFonts w:ascii="Wingdings" w:hAnsi="Wingdings" w:hint="default"/>
      </w:rPr>
    </w:lvl>
    <w:lvl w:ilvl="8" w:tplc="2EEEB7E8" w:tentative="1">
      <w:start w:val="1"/>
      <w:numFmt w:val="bullet"/>
      <w:lvlText w:val=""/>
      <w:lvlJc w:val="left"/>
      <w:pPr>
        <w:tabs>
          <w:tab w:val="num" w:pos="6480"/>
        </w:tabs>
        <w:ind w:left="6480" w:hanging="360"/>
      </w:pPr>
      <w:rPr>
        <w:rFonts w:ascii="Wingdings" w:hAnsi="Wingdings" w:hint="default"/>
      </w:rPr>
    </w:lvl>
  </w:abstractNum>
  <w:abstractNum w:abstractNumId="16">
    <w:nsid w:val="51A31CEA"/>
    <w:multiLevelType w:val="hybridMultilevel"/>
    <w:tmpl w:val="E5F0D52A"/>
    <w:lvl w:ilvl="0" w:tplc="3D08BE66">
      <w:start w:val="1"/>
      <w:numFmt w:val="bullet"/>
      <w:lvlText w:val=""/>
      <w:lvlJc w:val="left"/>
      <w:pPr>
        <w:tabs>
          <w:tab w:val="num" w:pos="720"/>
        </w:tabs>
        <w:ind w:left="720" w:hanging="360"/>
      </w:pPr>
      <w:rPr>
        <w:rFonts w:ascii="Wingdings" w:hAnsi="Wingdings" w:hint="default"/>
      </w:rPr>
    </w:lvl>
    <w:lvl w:ilvl="1" w:tplc="CEFEA06E" w:tentative="1">
      <w:start w:val="1"/>
      <w:numFmt w:val="bullet"/>
      <w:lvlText w:val=""/>
      <w:lvlJc w:val="left"/>
      <w:pPr>
        <w:tabs>
          <w:tab w:val="num" w:pos="1440"/>
        </w:tabs>
        <w:ind w:left="1440" w:hanging="360"/>
      </w:pPr>
      <w:rPr>
        <w:rFonts w:ascii="Wingdings" w:hAnsi="Wingdings" w:hint="default"/>
      </w:rPr>
    </w:lvl>
    <w:lvl w:ilvl="2" w:tplc="32C29DD4" w:tentative="1">
      <w:start w:val="1"/>
      <w:numFmt w:val="bullet"/>
      <w:lvlText w:val=""/>
      <w:lvlJc w:val="left"/>
      <w:pPr>
        <w:tabs>
          <w:tab w:val="num" w:pos="2160"/>
        </w:tabs>
        <w:ind w:left="2160" w:hanging="360"/>
      </w:pPr>
      <w:rPr>
        <w:rFonts w:ascii="Wingdings" w:hAnsi="Wingdings" w:hint="default"/>
      </w:rPr>
    </w:lvl>
    <w:lvl w:ilvl="3" w:tplc="3D566FA6" w:tentative="1">
      <w:start w:val="1"/>
      <w:numFmt w:val="bullet"/>
      <w:lvlText w:val=""/>
      <w:lvlJc w:val="left"/>
      <w:pPr>
        <w:tabs>
          <w:tab w:val="num" w:pos="2880"/>
        </w:tabs>
        <w:ind w:left="2880" w:hanging="360"/>
      </w:pPr>
      <w:rPr>
        <w:rFonts w:ascii="Wingdings" w:hAnsi="Wingdings" w:hint="default"/>
      </w:rPr>
    </w:lvl>
    <w:lvl w:ilvl="4" w:tplc="AEC0889E" w:tentative="1">
      <w:start w:val="1"/>
      <w:numFmt w:val="bullet"/>
      <w:lvlText w:val=""/>
      <w:lvlJc w:val="left"/>
      <w:pPr>
        <w:tabs>
          <w:tab w:val="num" w:pos="3600"/>
        </w:tabs>
        <w:ind w:left="3600" w:hanging="360"/>
      </w:pPr>
      <w:rPr>
        <w:rFonts w:ascii="Wingdings" w:hAnsi="Wingdings" w:hint="default"/>
      </w:rPr>
    </w:lvl>
    <w:lvl w:ilvl="5" w:tplc="966ADB8A" w:tentative="1">
      <w:start w:val="1"/>
      <w:numFmt w:val="bullet"/>
      <w:lvlText w:val=""/>
      <w:lvlJc w:val="left"/>
      <w:pPr>
        <w:tabs>
          <w:tab w:val="num" w:pos="4320"/>
        </w:tabs>
        <w:ind w:left="4320" w:hanging="360"/>
      </w:pPr>
      <w:rPr>
        <w:rFonts w:ascii="Wingdings" w:hAnsi="Wingdings" w:hint="default"/>
      </w:rPr>
    </w:lvl>
    <w:lvl w:ilvl="6" w:tplc="E5C66F70" w:tentative="1">
      <w:start w:val="1"/>
      <w:numFmt w:val="bullet"/>
      <w:lvlText w:val=""/>
      <w:lvlJc w:val="left"/>
      <w:pPr>
        <w:tabs>
          <w:tab w:val="num" w:pos="5040"/>
        </w:tabs>
        <w:ind w:left="5040" w:hanging="360"/>
      </w:pPr>
      <w:rPr>
        <w:rFonts w:ascii="Wingdings" w:hAnsi="Wingdings" w:hint="default"/>
      </w:rPr>
    </w:lvl>
    <w:lvl w:ilvl="7" w:tplc="759EB006" w:tentative="1">
      <w:start w:val="1"/>
      <w:numFmt w:val="bullet"/>
      <w:lvlText w:val=""/>
      <w:lvlJc w:val="left"/>
      <w:pPr>
        <w:tabs>
          <w:tab w:val="num" w:pos="5760"/>
        </w:tabs>
        <w:ind w:left="5760" w:hanging="360"/>
      </w:pPr>
      <w:rPr>
        <w:rFonts w:ascii="Wingdings" w:hAnsi="Wingdings" w:hint="default"/>
      </w:rPr>
    </w:lvl>
    <w:lvl w:ilvl="8" w:tplc="6C206E72" w:tentative="1">
      <w:start w:val="1"/>
      <w:numFmt w:val="bullet"/>
      <w:lvlText w:val=""/>
      <w:lvlJc w:val="left"/>
      <w:pPr>
        <w:tabs>
          <w:tab w:val="num" w:pos="6480"/>
        </w:tabs>
        <w:ind w:left="6480" w:hanging="360"/>
      </w:pPr>
      <w:rPr>
        <w:rFonts w:ascii="Wingdings" w:hAnsi="Wingdings" w:hint="default"/>
      </w:rPr>
    </w:lvl>
  </w:abstractNum>
  <w:abstractNum w:abstractNumId="17">
    <w:nsid w:val="5BFA5101"/>
    <w:multiLevelType w:val="hybridMultilevel"/>
    <w:tmpl w:val="B862FE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nsid w:val="669F3404"/>
    <w:multiLevelType w:val="hybridMultilevel"/>
    <w:tmpl w:val="6512CD7C"/>
    <w:lvl w:ilvl="0" w:tplc="93D6F138">
      <w:start w:val="1"/>
      <w:numFmt w:val="bullet"/>
      <w:lvlText w:val=""/>
      <w:lvlJc w:val="left"/>
      <w:pPr>
        <w:tabs>
          <w:tab w:val="num" w:pos="720"/>
        </w:tabs>
        <w:ind w:left="720" w:hanging="360"/>
      </w:pPr>
      <w:rPr>
        <w:rFonts w:ascii="Wingdings" w:hAnsi="Wingdings" w:hint="default"/>
      </w:rPr>
    </w:lvl>
    <w:lvl w:ilvl="1" w:tplc="8E6E80D2" w:tentative="1">
      <w:start w:val="1"/>
      <w:numFmt w:val="bullet"/>
      <w:lvlText w:val=""/>
      <w:lvlJc w:val="left"/>
      <w:pPr>
        <w:tabs>
          <w:tab w:val="num" w:pos="1440"/>
        </w:tabs>
        <w:ind w:left="1440" w:hanging="360"/>
      </w:pPr>
      <w:rPr>
        <w:rFonts w:ascii="Wingdings" w:hAnsi="Wingdings" w:hint="default"/>
      </w:rPr>
    </w:lvl>
    <w:lvl w:ilvl="2" w:tplc="9920D860" w:tentative="1">
      <w:start w:val="1"/>
      <w:numFmt w:val="bullet"/>
      <w:lvlText w:val=""/>
      <w:lvlJc w:val="left"/>
      <w:pPr>
        <w:tabs>
          <w:tab w:val="num" w:pos="2160"/>
        </w:tabs>
        <w:ind w:left="2160" w:hanging="360"/>
      </w:pPr>
      <w:rPr>
        <w:rFonts w:ascii="Wingdings" w:hAnsi="Wingdings" w:hint="default"/>
      </w:rPr>
    </w:lvl>
    <w:lvl w:ilvl="3" w:tplc="6E089712" w:tentative="1">
      <w:start w:val="1"/>
      <w:numFmt w:val="bullet"/>
      <w:lvlText w:val=""/>
      <w:lvlJc w:val="left"/>
      <w:pPr>
        <w:tabs>
          <w:tab w:val="num" w:pos="2880"/>
        </w:tabs>
        <w:ind w:left="2880" w:hanging="360"/>
      </w:pPr>
      <w:rPr>
        <w:rFonts w:ascii="Wingdings" w:hAnsi="Wingdings" w:hint="default"/>
      </w:rPr>
    </w:lvl>
    <w:lvl w:ilvl="4" w:tplc="2EC494FE" w:tentative="1">
      <w:start w:val="1"/>
      <w:numFmt w:val="bullet"/>
      <w:lvlText w:val=""/>
      <w:lvlJc w:val="left"/>
      <w:pPr>
        <w:tabs>
          <w:tab w:val="num" w:pos="3600"/>
        </w:tabs>
        <w:ind w:left="3600" w:hanging="360"/>
      </w:pPr>
      <w:rPr>
        <w:rFonts w:ascii="Wingdings" w:hAnsi="Wingdings" w:hint="default"/>
      </w:rPr>
    </w:lvl>
    <w:lvl w:ilvl="5" w:tplc="68EA6732" w:tentative="1">
      <w:start w:val="1"/>
      <w:numFmt w:val="bullet"/>
      <w:lvlText w:val=""/>
      <w:lvlJc w:val="left"/>
      <w:pPr>
        <w:tabs>
          <w:tab w:val="num" w:pos="4320"/>
        </w:tabs>
        <w:ind w:left="4320" w:hanging="360"/>
      </w:pPr>
      <w:rPr>
        <w:rFonts w:ascii="Wingdings" w:hAnsi="Wingdings" w:hint="default"/>
      </w:rPr>
    </w:lvl>
    <w:lvl w:ilvl="6" w:tplc="7E283E38" w:tentative="1">
      <w:start w:val="1"/>
      <w:numFmt w:val="bullet"/>
      <w:lvlText w:val=""/>
      <w:lvlJc w:val="left"/>
      <w:pPr>
        <w:tabs>
          <w:tab w:val="num" w:pos="5040"/>
        </w:tabs>
        <w:ind w:left="5040" w:hanging="360"/>
      </w:pPr>
      <w:rPr>
        <w:rFonts w:ascii="Wingdings" w:hAnsi="Wingdings" w:hint="default"/>
      </w:rPr>
    </w:lvl>
    <w:lvl w:ilvl="7" w:tplc="5C28C1EE" w:tentative="1">
      <w:start w:val="1"/>
      <w:numFmt w:val="bullet"/>
      <w:lvlText w:val=""/>
      <w:lvlJc w:val="left"/>
      <w:pPr>
        <w:tabs>
          <w:tab w:val="num" w:pos="5760"/>
        </w:tabs>
        <w:ind w:left="5760" w:hanging="360"/>
      </w:pPr>
      <w:rPr>
        <w:rFonts w:ascii="Wingdings" w:hAnsi="Wingdings" w:hint="default"/>
      </w:rPr>
    </w:lvl>
    <w:lvl w:ilvl="8" w:tplc="6D4C9EAA" w:tentative="1">
      <w:start w:val="1"/>
      <w:numFmt w:val="bullet"/>
      <w:lvlText w:val=""/>
      <w:lvlJc w:val="left"/>
      <w:pPr>
        <w:tabs>
          <w:tab w:val="num" w:pos="6480"/>
        </w:tabs>
        <w:ind w:left="6480" w:hanging="360"/>
      </w:pPr>
      <w:rPr>
        <w:rFonts w:ascii="Wingdings" w:hAnsi="Wingdings" w:hint="default"/>
      </w:rPr>
    </w:lvl>
  </w:abstractNum>
  <w:abstractNum w:abstractNumId="19">
    <w:nsid w:val="6803125C"/>
    <w:multiLevelType w:val="hybridMultilevel"/>
    <w:tmpl w:val="3E349F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2A6B48"/>
    <w:multiLevelType w:val="hybridMultilevel"/>
    <w:tmpl w:val="B5B45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7B2B98"/>
    <w:multiLevelType w:val="hybridMultilevel"/>
    <w:tmpl w:val="55B2F24C"/>
    <w:lvl w:ilvl="0" w:tplc="FC4C7232">
      <w:start w:val="1"/>
      <w:numFmt w:val="bullet"/>
      <w:lvlText w:val=""/>
      <w:lvlJc w:val="left"/>
      <w:pPr>
        <w:tabs>
          <w:tab w:val="num" w:pos="720"/>
        </w:tabs>
        <w:ind w:left="720" w:hanging="360"/>
      </w:pPr>
      <w:rPr>
        <w:rFonts w:ascii="Wingdings" w:hAnsi="Wingdings" w:hint="default"/>
      </w:rPr>
    </w:lvl>
    <w:lvl w:ilvl="1" w:tplc="8A08F9D6" w:tentative="1">
      <w:start w:val="1"/>
      <w:numFmt w:val="bullet"/>
      <w:lvlText w:val=""/>
      <w:lvlJc w:val="left"/>
      <w:pPr>
        <w:tabs>
          <w:tab w:val="num" w:pos="1440"/>
        </w:tabs>
        <w:ind w:left="1440" w:hanging="360"/>
      </w:pPr>
      <w:rPr>
        <w:rFonts w:ascii="Wingdings" w:hAnsi="Wingdings" w:hint="default"/>
      </w:rPr>
    </w:lvl>
    <w:lvl w:ilvl="2" w:tplc="08D087C0" w:tentative="1">
      <w:start w:val="1"/>
      <w:numFmt w:val="bullet"/>
      <w:lvlText w:val=""/>
      <w:lvlJc w:val="left"/>
      <w:pPr>
        <w:tabs>
          <w:tab w:val="num" w:pos="2160"/>
        </w:tabs>
        <w:ind w:left="2160" w:hanging="360"/>
      </w:pPr>
      <w:rPr>
        <w:rFonts w:ascii="Wingdings" w:hAnsi="Wingdings" w:hint="default"/>
      </w:rPr>
    </w:lvl>
    <w:lvl w:ilvl="3" w:tplc="37CCEBA2" w:tentative="1">
      <w:start w:val="1"/>
      <w:numFmt w:val="bullet"/>
      <w:lvlText w:val=""/>
      <w:lvlJc w:val="left"/>
      <w:pPr>
        <w:tabs>
          <w:tab w:val="num" w:pos="2880"/>
        </w:tabs>
        <w:ind w:left="2880" w:hanging="360"/>
      </w:pPr>
      <w:rPr>
        <w:rFonts w:ascii="Wingdings" w:hAnsi="Wingdings" w:hint="default"/>
      </w:rPr>
    </w:lvl>
    <w:lvl w:ilvl="4" w:tplc="4C8E68B4" w:tentative="1">
      <w:start w:val="1"/>
      <w:numFmt w:val="bullet"/>
      <w:lvlText w:val=""/>
      <w:lvlJc w:val="left"/>
      <w:pPr>
        <w:tabs>
          <w:tab w:val="num" w:pos="3600"/>
        </w:tabs>
        <w:ind w:left="3600" w:hanging="360"/>
      </w:pPr>
      <w:rPr>
        <w:rFonts w:ascii="Wingdings" w:hAnsi="Wingdings" w:hint="default"/>
      </w:rPr>
    </w:lvl>
    <w:lvl w:ilvl="5" w:tplc="3F98F55A" w:tentative="1">
      <w:start w:val="1"/>
      <w:numFmt w:val="bullet"/>
      <w:lvlText w:val=""/>
      <w:lvlJc w:val="left"/>
      <w:pPr>
        <w:tabs>
          <w:tab w:val="num" w:pos="4320"/>
        </w:tabs>
        <w:ind w:left="4320" w:hanging="360"/>
      </w:pPr>
      <w:rPr>
        <w:rFonts w:ascii="Wingdings" w:hAnsi="Wingdings" w:hint="default"/>
      </w:rPr>
    </w:lvl>
    <w:lvl w:ilvl="6" w:tplc="2B0238FA" w:tentative="1">
      <w:start w:val="1"/>
      <w:numFmt w:val="bullet"/>
      <w:lvlText w:val=""/>
      <w:lvlJc w:val="left"/>
      <w:pPr>
        <w:tabs>
          <w:tab w:val="num" w:pos="5040"/>
        </w:tabs>
        <w:ind w:left="5040" w:hanging="360"/>
      </w:pPr>
      <w:rPr>
        <w:rFonts w:ascii="Wingdings" w:hAnsi="Wingdings" w:hint="default"/>
      </w:rPr>
    </w:lvl>
    <w:lvl w:ilvl="7" w:tplc="2BA02500" w:tentative="1">
      <w:start w:val="1"/>
      <w:numFmt w:val="bullet"/>
      <w:lvlText w:val=""/>
      <w:lvlJc w:val="left"/>
      <w:pPr>
        <w:tabs>
          <w:tab w:val="num" w:pos="5760"/>
        </w:tabs>
        <w:ind w:left="5760" w:hanging="360"/>
      </w:pPr>
      <w:rPr>
        <w:rFonts w:ascii="Wingdings" w:hAnsi="Wingdings" w:hint="default"/>
      </w:rPr>
    </w:lvl>
    <w:lvl w:ilvl="8" w:tplc="B88E9092" w:tentative="1">
      <w:start w:val="1"/>
      <w:numFmt w:val="bullet"/>
      <w:lvlText w:val=""/>
      <w:lvlJc w:val="left"/>
      <w:pPr>
        <w:tabs>
          <w:tab w:val="num" w:pos="6480"/>
        </w:tabs>
        <w:ind w:left="6480" w:hanging="360"/>
      </w:pPr>
      <w:rPr>
        <w:rFonts w:ascii="Wingdings" w:hAnsi="Wingdings" w:hint="default"/>
      </w:rPr>
    </w:lvl>
  </w:abstractNum>
  <w:abstractNum w:abstractNumId="22">
    <w:nsid w:val="6F4F7C95"/>
    <w:multiLevelType w:val="multilevel"/>
    <w:tmpl w:val="63FC3D0E"/>
    <w:styleLink w:val="List0"/>
    <w:lvl w:ilvl="0">
      <w:start w:val="1"/>
      <w:numFmt w:val="lowerRoman"/>
      <w:lvlText w:val="%1)"/>
      <w:lvlJc w:val="left"/>
      <w:pPr>
        <w:ind w:left="0" w:firstLine="0"/>
      </w:pPr>
      <w:rPr>
        <w:rFonts w:ascii="Helvetica" w:eastAsia="Helvetica" w:hAnsi="Helvetica" w:cs="Helvetica"/>
        <w:position w:val="0"/>
      </w:rPr>
    </w:lvl>
    <w:lvl w:ilvl="1">
      <w:start w:val="1"/>
      <w:numFmt w:val="lowerRoman"/>
      <w:lvlText w:val="%2)"/>
      <w:lvlJc w:val="left"/>
      <w:pPr>
        <w:ind w:left="0" w:firstLine="0"/>
      </w:pPr>
      <w:rPr>
        <w:rFonts w:ascii="Helvetica" w:eastAsia="Helvetica" w:hAnsi="Helvetica" w:cs="Helvetica"/>
        <w:position w:val="0"/>
      </w:rPr>
    </w:lvl>
    <w:lvl w:ilvl="2">
      <w:start w:val="1"/>
      <w:numFmt w:val="lowerRoman"/>
      <w:lvlText w:val="%3)"/>
      <w:lvlJc w:val="left"/>
      <w:pPr>
        <w:ind w:left="0" w:firstLine="0"/>
      </w:pPr>
      <w:rPr>
        <w:rFonts w:ascii="Helvetica" w:eastAsia="Helvetica" w:hAnsi="Helvetica" w:cs="Helvetica"/>
        <w:position w:val="0"/>
      </w:rPr>
    </w:lvl>
    <w:lvl w:ilvl="3">
      <w:start w:val="1"/>
      <w:numFmt w:val="lowerRoman"/>
      <w:lvlText w:val="%4)"/>
      <w:lvlJc w:val="left"/>
      <w:pPr>
        <w:ind w:left="0" w:firstLine="0"/>
      </w:pPr>
      <w:rPr>
        <w:rFonts w:ascii="Helvetica" w:eastAsia="Helvetica" w:hAnsi="Helvetica" w:cs="Helvetica"/>
        <w:position w:val="0"/>
      </w:rPr>
    </w:lvl>
    <w:lvl w:ilvl="4">
      <w:start w:val="1"/>
      <w:numFmt w:val="lowerRoman"/>
      <w:lvlText w:val="%5)"/>
      <w:lvlJc w:val="left"/>
      <w:pPr>
        <w:ind w:left="0" w:firstLine="0"/>
      </w:pPr>
      <w:rPr>
        <w:rFonts w:ascii="Helvetica" w:eastAsia="Helvetica" w:hAnsi="Helvetica" w:cs="Helvetica"/>
        <w:position w:val="0"/>
      </w:rPr>
    </w:lvl>
    <w:lvl w:ilvl="5">
      <w:start w:val="1"/>
      <w:numFmt w:val="lowerRoman"/>
      <w:lvlText w:val="%6)"/>
      <w:lvlJc w:val="left"/>
      <w:pPr>
        <w:ind w:left="0" w:firstLine="0"/>
      </w:pPr>
      <w:rPr>
        <w:rFonts w:ascii="Helvetica" w:eastAsia="Helvetica" w:hAnsi="Helvetica" w:cs="Helvetica"/>
        <w:position w:val="0"/>
      </w:rPr>
    </w:lvl>
    <w:lvl w:ilvl="6">
      <w:start w:val="1"/>
      <w:numFmt w:val="lowerRoman"/>
      <w:lvlText w:val="%7)"/>
      <w:lvlJc w:val="left"/>
      <w:pPr>
        <w:ind w:left="0" w:firstLine="0"/>
      </w:pPr>
      <w:rPr>
        <w:rFonts w:ascii="Helvetica" w:eastAsia="Helvetica" w:hAnsi="Helvetica" w:cs="Helvetica"/>
        <w:position w:val="0"/>
      </w:rPr>
    </w:lvl>
    <w:lvl w:ilvl="7">
      <w:start w:val="1"/>
      <w:numFmt w:val="lowerRoman"/>
      <w:lvlText w:val="%8)"/>
      <w:lvlJc w:val="left"/>
      <w:pPr>
        <w:ind w:left="0" w:firstLine="0"/>
      </w:pPr>
      <w:rPr>
        <w:rFonts w:ascii="Helvetica" w:eastAsia="Helvetica" w:hAnsi="Helvetica" w:cs="Helvetica"/>
        <w:position w:val="0"/>
      </w:rPr>
    </w:lvl>
    <w:lvl w:ilvl="8">
      <w:start w:val="1"/>
      <w:numFmt w:val="lowerRoman"/>
      <w:lvlText w:val="%9)"/>
      <w:lvlJc w:val="left"/>
      <w:pPr>
        <w:ind w:left="0" w:firstLine="0"/>
      </w:pPr>
      <w:rPr>
        <w:rFonts w:ascii="Helvetica" w:eastAsia="Helvetica" w:hAnsi="Helvetica" w:cs="Helvetica"/>
        <w:position w:val="0"/>
      </w:rPr>
    </w:lvl>
  </w:abstractNum>
  <w:abstractNum w:abstractNumId="23">
    <w:nsid w:val="6FF25DA4"/>
    <w:multiLevelType w:val="hybridMultilevel"/>
    <w:tmpl w:val="72F2121E"/>
    <w:lvl w:ilvl="0" w:tplc="87C64D1C">
      <w:start w:val="1"/>
      <w:numFmt w:val="bullet"/>
      <w:lvlText w:val=""/>
      <w:lvlJc w:val="left"/>
      <w:pPr>
        <w:tabs>
          <w:tab w:val="num" w:pos="720"/>
        </w:tabs>
        <w:ind w:left="720" w:hanging="360"/>
      </w:pPr>
      <w:rPr>
        <w:rFonts w:ascii="Wingdings" w:hAnsi="Wingdings" w:hint="default"/>
      </w:rPr>
    </w:lvl>
    <w:lvl w:ilvl="1" w:tplc="78AE27F6" w:tentative="1">
      <w:start w:val="1"/>
      <w:numFmt w:val="bullet"/>
      <w:lvlText w:val=""/>
      <w:lvlJc w:val="left"/>
      <w:pPr>
        <w:tabs>
          <w:tab w:val="num" w:pos="1440"/>
        </w:tabs>
        <w:ind w:left="1440" w:hanging="360"/>
      </w:pPr>
      <w:rPr>
        <w:rFonts w:ascii="Wingdings" w:hAnsi="Wingdings" w:hint="default"/>
      </w:rPr>
    </w:lvl>
    <w:lvl w:ilvl="2" w:tplc="4D2AC5A8" w:tentative="1">
      <w:start w:val="1"/>
      <w:numFmt w:val="bullet"/>
      <w:lvlText w:val=""/>
      <w:lvlJc w:val="left"/>
      <w:pPr>
        <w:tabs>
          <w:tab w:val="num" w:pos="2160"/>
        </w:tabs>
        <w:ind w:left="2160" w:hanging="360"/>
      </w:pPr>
      <w:rPr>
        <w:rFonts w:ascii="Wingdings" w:hAnsi="Wingdings" w:hint="default"/>
      </w:rPr>
    </w:lvl>
    <w:lvl w:ilvl="3" w:tplc="59882AF4" w:tentative="1">
      <w:start w:val="1"/>
      <w:numFmt w:val="bullet"/>
      <w:lvlText w:val=""/>
      <w:lvlJc w:val="left"/>
      <w:pPr>
        <w:tabs>
          <w:tab w:val="num" w:pos="2880"/>
        </w:tabs>
        <w:ind w:left="2880" w:hanging="360"/>
      </w:pPr>
      <w:rPr>
        <w:rFonts w:ascii="Wingdings" w:hAnsi="Wingdings" w:hint="default"/>
      </w:rPr>
    </w:lvl>
    <w:lvl w:ilvl="4" w:tplc="1D1056CA" w:tentative="1">
      <w:start w:val="1"/>
      <w:numFmt w:val="bullet"/>
      <w:lvlText w:val=""/>
      <w:lvlJc w:val="left"/>
      <w:pPr>
        <w:tabs>
          <w:tab w:val="num" w:pos="3600"/>
        </w:tabs>
        <w:ind w:left="3600" w:hanging="360"/>
      </w:pPr>
      <w:rPr>
        <w:rFonts w:ascii="Wingdings" w:hAnsi="Wingdings" w:hint="default"/>
      </w:rPr>
    </w:lvl>
    <w:lvl w:ilvl="5" w:tplc="ED6ABCE2" w:tentative="1">
      <w:start w:val="1"/>
      <w:numFmt w:val="bullet"/>
      <w:lvlText w:val=""/>
      <w:lvlJc w:val="left"/>
      <w:pPr>
        <w:tabs>
          <w:tab w:val="num" w:pos="4320"/>
        </w:tabs>
        <w:ind w:left="4320" w:hanging="360"/>
      </w:pPr>
      <w:rPr>
        <w:rFonts w:ascii="Wingdings" w:hAnsi="Wingdings" w:hint="default"/>
      </w:rPr>
    </w:lvl>
    <w:lvl w:ilvl="6" w:tplc="AFE6AA40" w:tentative="1">
      <w:start w:val="1"/>
      <w:numFmt w:val="bullet"/>
      <w:lvlText w:val=""/>
      <w:lvlJc w:val="left"/>
      <w:pPr>
        <w:tabs>
          <w:tab w:val="num" w:pos="5040"/>
        </w:tabs>
        <w:ind w:left="5040" w:hanging="360"/>
      </w:pPr>
      <w:rPr>
        <w:rFonts w:ascii="Wingdings" w:hAnsi="Wingdings" w:hint="default"/>
      </w:rPr>
    </w:lvl>
    <w:lvl w:ilvl="7" w:tplc="F79E0544" w:tentative="1">
      <w:start w:val="1"/>
      <w:numFmt w:val="bullet"/>
      <w:lvlText w:val=""/>
      <w:lvlJc w:val="left"/>
      <w:pPr>
        <w:tabs>
          <w:tab w:val="num" w:pos="5760"/>
        </w:tabs>
        <w:ind w:left="5760" w:hanging="360"/>
      </w:pPr>
      <w:rPr>
        <w:rFonts w:ascii="Wingdings" w:hAnsi="Wingdings" w:hint="default"/>
      </w:rPr>
    </w:lvl>
    <w:lvl w:ilvl="8" w:tplc="7E32AD0C" w:tentative="1">
      <w:start w:val="1"/>
      <w:numFmt w:val="bullet"/>
      <w:lvlText w:val=""/>
      <w:lvlJc w:val="left"/>
      <w:pPr>
        <w:tabs>
          <w:tab w:val="num" w:pos="6480"/>
        </w:tabs>
        <w:ind w:left="6480" w:hanging="360"/>
      </w:pPr>
      <w:rPr>
        <w:rFonts w:ascii="Wingdings" w:hAnsi="Wingdings" w:hint="default"/>
      </w:rPr>
    </w:lvl>
  </w:abstractNum>
  <w:abstractNum w:abstractNumId="24">
    <w:nsid w:val="714D553C"/>
    <w:multiLevelType w:val="hybridMultilevel"/>
    <w:tmpl w:val="6D5C025E"/>
    <w:lvl w:ilvl="0" w:tplc="44247A38">
      <w:start w:val="1"/>
      <w:numFmt w:val="bullet"/>
      <w:lvlText w:val=""/>
      <w:lvlJc w:val="left"/>
      <w:pPr>
        <w:tabs>
          <w:tab w:val="num" w:pos="720"/>
        </w:tabs>
        <w:ind w:left="720" w:hanging="360"/>
      </w:pPr>
      <w:rPr>
        <w:rFonts w:ascii="Wingdings" w:hAnsi="Wingdings" w:hint="default"/>
      </w:rPr>
    </w:lvl>
    <w:lvl w:ilvl="1" w:tplc="176291EA" w:tentative="1">
      <w:start w:val="1"/>
      <w:numFmt w:val="bullet"/>
      <w:lvlText w:val=""/>
      <w:lvlJc w:val="left"/>
      <w:pPr>
        <w:tabs>
          <w:tab w:val="num" w:pos="1440"/>
        </w:tabs>
        <w:ind w:left="1440" w:hanging="360"/>
      </w:pPr>
      <w:rPr>
        <w:rFonts w:ascii="Wingdings" w:hAnsi="Wingdings" w:hint="default"/>
      </w:rPr>
    </w:lvl>
    <w:lvl w:ilvl="2" w:tplc="42FE9FA6" w:tentative="1">
      <w:start w:val="1"/>
      <w:numFmt w:val="bullet"/>
      <w:lvlText w:val=""/>
      <w:lvlJc w:val="left"/>
      <w:pPr>
        <w:tabs>
          <w:tab w:val="num" w:pos="2160"/>
        </w:tabs>
        <w:ind w:left="2160" w:hanging="360"/>
      </w:pPr>
      <w:rPr>
        <w:rFonts w:ascii="Wingdings" w:hAnsi="Wingdings" w:hint="default"/>
      </w:rPr>
    </w:lvl>
    <w:lvl w:ilvl="3" w:tplc="4094D60A" w:tentative="1">
      <w:start w:val="1"/>
      <w:numFmt w:val="bullet"/>
      <w:lvlText w:val=""/>
      <w:lvlJc w:val="left"/>
      <w:pPr>
        <w:tabs>
          <w:tab w:val="num" w:pos="2880"/>
        </w:tabs>
        <w:ind w:left="2880" w:hanging="360"/>
      </w:pPr>
      <w:rPr>
        <w:rFonts w:ascii="Wingdings" w:hAnsi="Wingdings" w:hint="default"/>
      </w:rPr>
    </w:lvl>
    <w:lvl w:ilvl="4" w:tplc="BFAE0768" w:tentative="1">
      <w:start w:val="1"/>
      <w:numFmt w:val="bullet"/>
      <w:lvlText w:val=""/>
      <w:lvlJc w:val="left"/>
      <w:pPr>
        <w:tabs>
          <w:tab w:val="num" w:pos="3600"/>
        </w:tabs>
        <w:ind w:left="3600" w:hanging="360"/>
      </w:pPr>
      <w:rPr>
        <w:rFonts w:ascii="Wingdings" w:hAnsi="Wingdings" w:hint="default"/>
      </w:rPr>
    </w:lvl>
    <w:lvl w:ilvl="5" w:tplc="9CF4CD5A" w:tentative="1">
      <w:start w:val="1"/>
      <w:numFmt w:val="bullet"/>
      <w:lvlText w:val=""/>
      <w:lvlJc w:val="left"/>
      <w:pPr>
        <w:tabs>
          <w:tab w:val="num" w:pos="4320"/>
        </w:tabs>
        <w:ind w:left="4320" w:hanging="360"/>
      </w:pPr>
      <w:rPr>
        <w:rFonts w:ascii="Wingdings" w:hAnsi="Wingdings" w:hint="default"/>
      </w:rPr>
    </w:lvl>
    <w:lvl w:ilvl="6" w:tplc="78525516" w:tentative="1">
      <w:start w:val="1"/>
      <w:numFmt w:val="bullet"/>
      <w:lvlText w:val=""/>
      <w:lvlJc w:val="left"/>
      <w:pPr>
        <w:tabs>
          <w:tab w:val="num" w:pos="5040"/>
        </w:tabs>
        <w:ind w:left="5040" w:hanging="360"/>
      </w:pPr>
      <w:rPr>
        <w:rFonts w:ascii="Wingdings" w:hAnsi="Wingdings" w:hint="default"/>
      </w:rPr>
    </w:lvl>
    <w:lvl w:ilvl="7" w:tplc="9BA23506" w:tentative="1">
      <w:start w:val="1"/>
      <w:numFmt w:val="bullet"/>
      <w:lvlText w:val=""/>
      <w:lvlJc w:val="left"/>
      <w:pPr>
        <w:tabs>
          <w:tab w:val="num" w:pos="5760"/>
        </w:tabs>
        <w:ind w:left="5760" w:hanging="360"/>
      </w:pPr>
      <w:rPr>
        <w:rFonts w:ascii="Wingdings" w:hAnsi="Wingdings" w:hint="default"/>
      </w:rPr>
    </w:lvl>
    <w:lvl w:ilvl="8" w:tplc="8B025BD4" w:tentative="1">
      <w:start w:val="1"/>
      <w:numFmt w:val="bullet"/>
      <w:lvlText w:val=""/>
      <w:lvlJc w:val="left"/>
      <w:pPr>
        <w:tabs>
          <w:tab w:val="num" w:pos="6480"/>
        </w:tabs>
        <w:ind w:left="6480" w:hanging="360"/>
      </w:pPr>
      <w:rPr>
        <w:rFonts w:ascii="Wingdings" w:hAnsi="Wingdings" w:hint="default"/>
      </w:rPr>
    </w:lvl>
  </w:abstractNum>
  <w:abstractNum w:abstractNumId="25">
    <w:nsid w:val="762D7782"/>
    <w:multiLevelType w:val="hybridMultilevel"/>
    <w:tmpl w:val="1F84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D96942"/>
    <w:multiLevelType w:val="hybridMultilevel"/>
    <w:tmpl w:val="B0E4C9E2"/>
    <w:lvl w:ilvl="0" w:tplc="A0463A52">
      <w:start w:val="1"/>
      <w:numFmt w:val="bullet"/>
      <w:lvlText w:val=""/>
      <w:lvlJc w:val="left"/>
      <w:pPr>
        <w:tabs>
          <w:tab w:val="num" w:pos="720"/>
        </w:tabs>
        <w:ind w:left="720" w:hanging="360"/>
      </w:pPr>
      <w:rPr>
        <w:rFonts w:ascii="Wingdings" w:hAnsi="Wingdings" w:hint="default"/>
      </w:rPr>
    </w:lvl>
    <w:lvl w:ilvl="1" w:tplc="AA3EB732" w:tentative="1">
      <w:start w:val="1"/>
      <w:numFmt w:val="bullet"/>
      <w:lvlText w:val=""/>
      <w:lvlJc w:val="left"/>
      <w:pPr>
        <w:tabs>
          <w:tab w:val="num" w:pos="1440"/>
        </w:tabs>
        <w:ind w:left="1440" w:hanging="360"/>
      </w:pPr>
      <w:rPr>
        <w:rFonts w:ascii="Wingdings" w:hAnsi="Wingdings" w:hint="default"/>
      </w:rPr>
    </w:lvl>
    <w:lvl w:ilvl="2" w:tplc="A72CE96A" w:tentative="1">
      <w:start w:val="1"/>
      <w:numFmt w:val="bullet"/>
      <w:lvlText w:val=""/>
      <w:lvlJc w:val="left"/>
      <w:pPr>
        <w:tabs>
          <w:tab w:val="num" w:pos="2160"/>
        </w:tabs>
        <w:ind w:left="2160" w:hanging="360"/>
      </w:pPr>
      <w:rPr>
        <w:rFonts w:ascii="Wingdings" w:hAnsi="Wingdings" w:hint="default"/>
      </w:rPr>
    </w:lvl>
    <w:lvl w:ilvl="3" w:tplc="449C9E68" w:tentative="1">
      <w:start w:val="1"/>
      <w:numFmt w:val="bullet"/>
      <w:lvlText w:val=""/>
      <w:lvlJc w:val="left"/>
      <w:pPr>
        <w:tabs>
          <w:tab w:val="num" w:pos="2880"/>
        </w:tabs>
        <w:ind w:left="2880" w:hanging="360"/>
      </w:pPr>
      <w:rPr>
        <w:rFonts w:ascii="Wingdings" w:hAnsi="Wingdings" w:hint="default"/>
      </w:rPr>
    </w:lvl>
    <w:lvl w:ilvl="4" w:tplc="A776C4BE" w:tentative="1">
      <w:start w:val="1"/>
      <w:numFmt w:val="bullet"/>
      <w:lvlText w:val=""/>
      <w:lvlJc w:val="left"/>
      <w:pPr>
        <w:tabs>
          <w:tab w:val="num" w:pos="3600"/>
        </w:tabs>
        <w:ind w:left="3600" w:hanging="360"/>
      </w:pPr>
      <w:rPr>
        <w:rFonts w:ascii="Wingdings" w:hAnsi="Wingdings" w:hint="default"/>
      </w:rPr>
    </w:lvl>
    <w:lvl w:ilvl="5" w:tplc="487ACB96" w:tentative="1">
      <w:start w:val="1"/>
      <w:numFmt w:val="bullet"/>
      <w:lvlText w:val=""/>
      <w:lvlJc w:val="left"/>
      <w:pPr>
        <w:tabs>
          <w:tab w:val="num" w:pos="4320"/>
        </w:tabs>
        <w:ind w:left="4320" w:hanging="360"/>
      </w:pPr>
      <w:rPr>
        <w:rFonts w:ascii="Wingdings" w:hAnsi="Wingdings" w:hint="default"/>
      </w:rPr>
    </w:lvl>
    <w:lvl w:ilvl="6" w:tplc="D46E3EFA" w:tentative="1">
      <w:start w:val="1"/>
      <w:numFmt w:val="bullet"/>
      <w:lvlText w:val=""/>
      <w:lvlJc w:val="left"/>
      <w:pPr>
        <w:tabs>
          <w:tab w:val="num" w:pos="5040"/>
        </w:tabs>
        <w:ind w:left="5040" w:hanging="360"/>
      </w:pPr>
      <w:rPr>
        <w:rFonts w:ascii="Wingdings" w:hAnsi="Wingdings" w:hint="default"/>
      </w:rPr>
    </w:lvl>
    <w:lvl w:ilvl="7" w:tplc="6B68F974" w:tentative="1">
      <w:start w:val="1"/>
      <w:numFmt w:val="bullet"/>
      <w:lvlText w:val=""/>
      <w:lvlJc w:val="left"/>
      <w:pPr>
        <w:tabs>
          <w:tab w:val="num" w:pos="5760"/>
        </w:tabs>
        <w:ind w:left="5760" w:hanging="360"/>
      </w:pPr>
      <w:rPr>
        <w:rFonts w:ascii="Wingdings" w:hAnsi="Wingdings" w:hint="default"/>
      </w:rPr>
    </w:lvl>
    <w:lvl w:ilvl="8" w:tplc="6EFE68CA"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0"/>
  </w:num>
  <w:num w:numId="7">
    <w:abstractNumId w:val="0"/>
  </w:num>
  <w:num w:numId="8">
    <w:abstractNumId w:val="24"/>
  </w:num>
  <w:num w:numId="9">
    <w:abstractNumId w:val="21"/>
  </w:num>
  <w:num w:numId="10">
    <w:abstractNumId w:val="13"/>
  </w:num>
  <w:num w:numId="11">
    <w:abstractNumId w:val="18"/>
  </w:num>
  <w:num w:numId="12">
    <w:abstractNumId w:val="15"/>
  </w:num>
  <w:num w:numId="13">
    <w:abstractNumId w:val="2"/>
  </w:num>
  <w:num w:numId="14">
    <w:abstractNumId w:val="16"/>
  </w:num>
  <w:num w:numId="15">
    <w:abstractNumId w:val="23"/>
  </w:num>
  <w:num w:numId="16">
    <w:abstractNumId w:val="1"/>
  </w:num>
  <w:num w:numId="17">
    <w:abstractNumId w:val="26"/>
  </w:num>
  <w:num w:numId="18">
    <w:abstractNumId w:val="12"/>
  </w:num>
  <w:num w:numId="19">
    <w:abstractNumId w:val="8"/>
  </w:num>
  <w:num w:numId="20">
    <w:abstractNumId w:val="3"/>
  </w:num>
  <w:num w:numId="21">
    <w:abstractNumId w:val="5"/>
  </w:num>
  <w:num w:numId="22">
    <w:abstractNumId w:val="7"/>
  </w:num>
  <w:num w:numId="23">
    <w:abstractNumId w:val="9"/>
  </w:num>
  <w:num w:numId="24">
    <w:abstractNumId w:val="6"/>
  </w:num>
  <w:num w:numId="25">
    <w:abstractNumId w:val="10"/>
  </w:num>
  <w:num w:numId="26">
    <w:abstractNumId w:val="25"/>
  </w:num>
  <w:num w:numId="27">
    <w:abstractNumId w:val="19"/>
  </w:num>
  <w:num w:numId="28">
    <w:abstractNumId w:val="17"/>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rsids>
    <w:rsidRoot w:val="00E508B7"/>
    <w:rsid w:val="00024099"/>
    <w:rsid w:val="00040CB6"/>
    <w:rsid w:val="00057407"/>
    <w:rsid w:val="00063C02"/>
    <w:rsid w:val="0007274D"/>
    <w:rsid w:val="00072D53"/>
    <w:rsid w:val="000A47B2"/>
    <w:rsid w:val="000A4DF0"/>
    <w:rsid w:val="000B7861"/>
    <w:rsid w:val="000C611C"/>
    <w:rsid w:val="000F5559"/>
    <w:rsid w:val="00137CF4"/>
    <w:rsid w:val="00140C8F"/>
    <w:rsid w:val="00145F39"/>
    <w:rsid w:val="00153160"/>
    <w:rsid w:val="00176822"/>
    <w:rsid w:val="001A5C94"/>
    <w:rsid w:val="001F127F"/>
    <w:rsid w:val="00230D6C"/>
    <w:rsid w:val="00237BB8"/>
    <w:rsid w:val="002703AC"/>
    <w:rsid w:val="00277ED6"/>
    <w:rsid w:val="00293120"/>
    <w:rsid w:val="002B2F4C"/>
    <w:rsid w:val="002C1722"/>
    <w:rsid w:val="002D34D0"/>
    <w:rsid w:val="002F089A"/>
    <w:rsid w:val="002F49A7"/>
    <w:rsid w:val="00300CC3"/>
    <w:rsid w:val="00335F3F"/>
    <w:rsid w:val="0037794A"/>
    <w:rsid w:val="00377A3A"/>
    <w:rsid w:val="003843E5"/>
    <w:rsid w:val="003E0EDC"/>
    <w:rsid w:val="003E234C"/>
    <w:rsid w:val="003F7B1B"/>
    <w:rsid w:val="004372A0"/>
    <w:rsid w:val="00443008"/>
    <w:rsid w:val="004470FE"/>
    <w:rsid w:val="00450922"/>
    <w:rsid w:val="004558BA"/>
    <w:rsid w:val="00485F25"/>
    <w:rsid w:val="00487C40"/>
    <w:rsid w:val="004B0437"/>
    <w:rsid w:val="004B4F36"/>
    <w:rsid w:val="004D0A7C"/>
    <w:rsid w:val="004D2F69"/>
    <w:rsid w:val="004F618C"/>
    <w:rsid w:val="005072FD"/>
    <w:rsid w:val="005128AE"/>
    <w:rsid w:val="005179A2"/>
    <w:rsid w:val="00524E79"/>
    <w:rsid w:val="00544A1B"/>
    <w:rsid w:val="005612D5"/>
    <w:rsid w:val="0058749B"/>
    <w:rsid w:val="005949CF"/>
    <w:rsid w:val="005C2552"/>
    <w:rsid w:val="005D4E5C"/>
    <w:rsid w:val="005E0067"/>
    <w:rsid w:val="005E396B"/>
    <w:rsid w:val="006102E8"/>
    <w:rsid w:val="00610B6B"/>
    <w:rsid w:val="0062012D"/>
    <w:rsid w:val="00632339"/>
    <w:rsid w:val="0063616C"/>
    <w:rsid w:val="00657B3C"/>
    <w:rsid w:val="00670856"/>
    <w:rsid w:val="00682649"/>
    <w:rsid w:val="0069361D"/>
    <w:rsid w:val="006A5DA8"/>
    <w:rsid w:val="00723AA6"/>
    <w:rsid w:val="00741649"/>
    <w:rsid w:val="00745F9F"/>
    <w:rsid w:val="0076172E"/>
    <w:rsid w:val="00794181"/>
    <w:rsid w:val="007A7496"/>
    <w:rsid w:val="0080496F"/>
    <w:rsid w:val="00832B25"/>
    <w:rsid w:val="00833531"/>
    <w:rsid w:val="008653BC"/>
    <w:rsid w:val="00870292"/>
    <w:rsid w:val="0088774E"/>
    <w:rsid w:val="008B4E70"/>
    <w:rsid w:val="008D7A7A"/>
    <w:rsid w:val="00906E26"/>
    <w:rsid w:val="00912140"/>
    <w:rsid w:val="00930ECC"/>
    <w:rsid w:val="0094591A"/>
    <w:rsid w:val="009A6BC5"/>
    <w:rsid w:val="009E1B29"/>
    <w:rsid w:val="009F512F"/>
    <w:rsid w:val="00A12859"/>
    <w:rsid w:val="00A40CB4"/>
    <w:rsid w:val="00A40EE8"/>
    <w:rsid w:val="00A50A8B"/>
    <w:rsid w:val="00A61DC4"/>
    <w:rsid w:val="00A622E4"/>
    <w:rsid w:val="00A850B7"/>
    <w:rsid w:val="00A931E0"/>
    <w:rsid w:val="00AC043D"/>
    <w:rsid w:val="00AD48E6"/>
    <w:rsid w:val="00AE3131"/>
    <w:rsid w:val="00B1520A"/>
    <w:rsid w:val="00B177AF"/>
    <w:rsid w:val="00B30168"/>
    <w:rsid w:val="00B615DC"/>
    <w:rsid w:val="00B62AC0"/>
    <w:rsid w:val="00B64C10"/>
    <w:rsid w:val="00B64C7A"/>
    <w:rsid w:val="00B72877"/>
    <w:rsid w:val="00BA776B"/>
    <w:rsid w:val="00BB0D18"/>
    <w:rsid w:val="00BB2A13"/>
    <w:rsid w:val="00BE18A7"/>
    <w:rsid w:val="00BF6A5E"/>
    <w:rsid w:val="00C16A08"/>
    <w:rsid w:val="00C3643C"/>
    <w:rsid w:val="00C41979"/>
    <w:rsid w:val="00C577D3"/>
    <w:rsid w:val="00C64A2D"/>
    <w:rsid w:val="00C82883"/>
    <w:rsid w:val="00C92FC7"/>
    <w:rsid w:val="00CA5B2C"/>
    <w:rsid w:val="00D234EB"/>
    <w:rsid w:val="00D50F54"/>
    <w:rsid w:val="00D5123A"/>
    <w:rsid w:val="00D537E0"/>
    <w:rsid w:val="00D82E55"/>
    <w:rsid w:val="00D92DFD"/>
    <w:rsid w:val="00DB2FD5"/>
    <w:rsid w:val="00DB4678"/>
    <w:rsid w:val="00DC1431"/>
    <w:rsid w:val="00DD6FAA"/>
    <w:rsid w:val="00DE4E02"/>
    <w:rsid w:val="00E21EC3"/>
    <w:rsid w:val="00E37FE8"/>
    <w:rsid w:val="00E508B7"/>
    <w:rsid w:val="00E53938"/>
    <w:rsid w:val="00E574F1"/>
    <w:rsid w:val="00E70C10"/>
    <w:rsid w:val="00E758D1"/>
    <w:rsid w:val="00EB050E"/>
    <w:rsid w:val="00ED1432"/>
    <w:rsid w:val="00ED53DF"/>
    <w:rsid w:val="00ED6876"/>
    <w:rsid w:val="00EE6499"/>
    <w:rsid w:val="00F2449E"/>
    <w:rsid w:val="00F24A6F"/>
    <w:rsid w:val="00F40E50"/>
    <w:rsid w:val="00F4151F"/>
    <w:rsid w:val="00F51FBB"/>
    <w:rsid w:val="00F80EF8"/>
    <w:rsid w:val="00F81176"/>
    <w:rsid w:val="00F879A0"/>
    <w:rsid w:val="00FA6D18"/>
    <w:rsid w:val="00FB6F0F"/>
    <w:rsid w:val="00FB78BB"/>
    <w:rsid w:val="00FD0588"/>
    <w:rsid w:val="00FD5AA0"/>
    <w:rsid w:val="00FF216B"/>
    <w:rsid w:val="00FF42DF"/>
    <w:rsid w:val="00FF73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9A2"/>
  </w:style>
  <w:style w:type="paragraph" w:styleId="Heading1">
    <w:name w:val="heading 1"/>
    <w:basedOn w:val="Normal"/>
    <w:next w:val="Normal"/>
    <w:link w:val="Heading1Char"/>
    <w:uiPriority w:val="9"/>
    <w:qFormat/>
    <w:rsid w:val="00723A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8B7"/>
    <w:rPr>
      <w:color w:val="0000FF" w:themeColor="hyperlink"/>
      <w:u w:val="single"/>
    </w:rPr>
  </w:style>
  <w:style w:type="paragraph" w:styleId="PlainText">
    <w:name w:val="Plain Text"/>
    <w:basedOn w:val="Normal"/>
    <w:link w:val="PlainTextChar"/>
    <w:uiPriority w:val="99"/>
    <w:unhideWhenUsed/>
    <w:rsid w:val="000A47B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A47B2"/>
    <w:rPr>
      <w:rFonts w:ascii="Calibri" w:hAnsi="Calibri" w:cs="Consolas"/>
      <w:szCs w:val="21"/>
    </w:rPr>
  </w:style>
  <w:style w:type="table" w:styleId="TableGrid">
    <w:name w:val="Table Grid"/>
    <w:basedOn w:val="TableNormal"/>
    <w:uiPriority w:val="59"/>
    <w:rsid w:val="00F4151F"/>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70856"/>
    <w:rPr>
      <w:color w:val="800080" w:themeColor="followedHyperlink"/>
      <w:u w:val="single"/>
    </w:rPr>
  </w:style>
  <w:style w:type="paragraph" w:styleId="NoSpacing">
    <w:name w:val="No Spacing"/>
    <w:uiPriority w:val="1"/>
    <w:qFormat/>
    <w:rsid w:val="00072D53"/>
    <w:pPr>
      <w:spacing w:after="0" w:line="240" w:lineRule="auto"/>
    </w:pPr>
  </w:style>
  <w:style w:type="paragraph" w:styleId="BalloonText">
    <w:name w:val="Balloon Text"/>
    <w:basedOn w:val="Normal"/>
    <w:link w:val="BalloonTextChar"/>
    <w:uiPriority w:val="99"/>
    <w:semiHidden/>
    <w:unhideWhenUsed/>
    <w:rsid w:val="00335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F3F"/>
    <w:rPr>
      <w:rFonts w:ascii="Tahoma" w:hAnsi="Tahoma" w:cs="Tahoma"/>
      <w:sz w:val="16"/>
      <w:szCs w:val="16"/>
    </w:rPr>
  </w:style>
  <w:style w:type="paragraph" w:styleId="Title">
    <w:name w:val="Title"/>
    <w:basedOn w:val="Normal"/>
    <w:next w:val="Normal"/>
    <w:link w:val="TitleChar"/>
    <w:uiPriority w:val="10"/>
    <w:qFormat/>
    <w:rsid w:val="00B301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16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3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68"/>
  </w:style>
  <w:style w:type="paragraph" w:styleId="Footer">
    <w:name w:val="footer"/>
    <w:basedOn w:val="Normal"/>
    <w:link w:val="FooterChar"/>
    <w:uiPriority w:val="99"/>
    <w:unhideWhenUsed/>
    <w:rsid w:val="00B30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68"/>
  </w:style>
  <w:style w:type="character" w:customStyle="1" w:styleId="apple-converted-space">
    <w:name w:val="apple-converted-space"/>
    <w:basedOn w:val="DefaultParagraphFont"/>
    <w:rsid w:val="0063616C"/>
  </w:style>
  <w:style w:type="paragraph" w:customStyle="1" w:styleId="Body">
    <w:name w:val="Body"/>
    <w:rsid w:val="004558BA"/>
    <w:pPr>
      <w:spacing w:after="0" w:line="240" w:lineRule="auto"/>
    </w:pPr>
    <w:rPr>
      <w:rFonts w:ascii="Helvetica" w:eastAsia="Helvetica" w:hAnsi="Helvetica" w:cs="Helvetica"/>
      <w:color w:val="000000"/>
      <w:u w:color="000000"/>
      <w:lang w:val="en-US" w:eastAsia="en-GB"/>
    </w:rPr>
  </w:style>
  <w:style w:type="numbering" w:customStyle="1" w:styleId="List0">
    <w:name w:val="List 0"/>
    <w:rsid w:val="004558BA"/>
    <w:pPr>
      <w:numPr>
        <w:numId w:val="1"/>
      </w:numPr>
    </w:pPr>
  </w:style>
  <w:style w:type="numbering" w:customStyle="1" w:styleId="Numbered">
    <w:name w:val="Numbered"/>
    <w:rsid w:val="004558BA"/>
    <w:pPr>
      <w:numPr>
        <w:numId w:val="3"/>
      </w:numPr>
    </w:pPr>
  </w:style>
  <w:style w:type="paragraph" w:styleId="ListParagraph">
    <w:name w:val="List Paragraph"/>
    <w:basedOn w:val="Normal"/>
    <w:uiPriority w:val="34"/>
    <w:qFormat/>
    <w:rsid w:val="00D82E55"/>
    <w:pPr>
      <w:ind w:left="720"/>
      <w:contextualSpacing/>
    </w:pPr>
  </w:style>
  <w:style w:type="paragraph" w:styleId="FootnoteText">
    <w:name w:val="footnote text"/>
    <w:basedOn w:val="Normal"/>
    <w:link w:val="FootnoteTextChar"/>
    <w:uiPriority w:val="99"/>
    <w:semiHidden/>
    <w:unhideWhenUsed/>
    <w:rsid w:val="00485F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F25"/>
    <w:rPr>
      <w:sz w:val="20"/>
      <w:szCs w:val="20"/>
    </w:rPr>
  </w:style>
  <w:style w:type="character" w:styleId="FootnoteReference">
    <w:name w:val="footnote reference"/>
    <w:basedOn w:val="DefaultParagraphFont"/>
    <w:uiPriority w:val="99"/>
    <w:semiHidden/>
    <w:unhideWhenUsed/>
    <w:rsid w:val="00485F25"/>
    <w:rPr>
      <w:vertAlign w:val="superscript"/>
    </w:rPr>
  </w:style>
  <w:style w:type="character" w:customStyle="1" w:styleId="Heading1Char">
    <w:name w:val="Heading 1 Char"/>
    <w:basedOn w:val="DefaultParagraphFont"/>
    <w:link w:val="Heading1"/>
    <w:uiPriority w:val="9"/>
    <w:rsid w:val="00723AA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Numbered"/>
    <w:pPr>
      <w:numPr>
        <w:numId w:val="3"/>
      </w:numPr>
    </w:pPr>
  </w:style>
  <w:style w:type="numbering" w:customStyle="1" w:styleId="PlainText">
    <w:name w:val="List0"/>
    <w:pPr>
      <w:numPr>
        <w:numId w:val="1"/>
      </w:numPr>
    </w:pPr>
  </w:style>
</w:styles>
</file>

<file path=word/webSettings.xml><?xml version="1.0" encoding="utf-8"?>
<w:webSettings xmlns:r="http://schemas.openxmlformats.org/officeDocument/2006/relationships" xmlns:w="http://schemas.openxmlformats.org/wordprocessingml/2006/main">
  <w:divs>
    <w:div w:id="320433130">
      <w:bodyDiv w:val="1"/>
      <w:marLeft w:val="0"/>
      <w:marRight w:val="0"/>
      <w:marTop w:val="0"/>
      <w:marBottom w:val="0"/>
      <w:divBdr>
        <w:top w:val="none" w:sz="0" w:space="0" w:color="auto"/>
        <w:left w:val="none" w:sz="0" w:space="0" w:color="auto"/>
        <w:bottom w:val="none" w:sz="0" w:space="0" w:color="auto"/>
        <w:right w:val="none" w:sz="0" w:space="0" w:color="auto"/>
      </w:divBdr>
      <w:divsChild>
        <w:div w:id="1541086202">
          <w:marLeft w:val="547"/>
          <w:marRight w:val="0"/>
          <w:marTop w:val="154"/>
          <w:marBottom w:val="0"/>
          <w:divBdr>
            <w:top w:val="none" w:sz="0" w:space="0" w:color="auto"/>
            <w:left w:val="none" w:sz="0" w:space="0" w:color="auto"/>
            <w:bottom w:val="none" w:sz="0" w:space="0" w:color="auto"/>
            <w:right w:val="none" w:sz="0" w:space="0" w:color="auto"/>
          </w:divBdr>
        </w:div>
        <w:div w:id="1488980219">
          <w:marLeft w:val="547"/>
          <w:marRight w:val="0"/>
          <w:marTop w:val="154"/>
          <w:marBottom w:val="0"/>
          <w:divBdr>
            <w:top w:val="none" w:sz="0" w:space="0" w:color="auto"/>
            <w:left w:val="none" w:sz="0" w:space="0" w:color="auto"/>
            <w:bottom w:val="none" w:sz="0" w:space="0" w:color="auto"/>
            <w:right w:val="none" w:sz="0" w:space="0" w:color="auto"/>
          </w:divBdr>
        </w:div>
        <w:div w:id="405307047">
          <w:marLeft w:val="547"/>
          <w:marRight w:val="0"/>
          <w:marTop w:val="154"/>
          <w:marBottom w:val="0"/>
          <w:divBdr>
            <w:top w:val="none" w:sz="0" w:space="0" w:color="auto"/>
            <w:left w:val="none" w:sz="0" w:space="0" w:color="auto"/>
            <w:bottom w:val="none" w:sz="0" w:space="0" w:color="auto"/>
            <w:right w:val="none" w:sz="0" w:space="0" w:color="auto"/>
          </w:divBdr>
        </w:div>
        <w:div w:id="38863449">
          <w:marLeft w:val="547"/>
          <w:marRight w:val="0"/>
          <w:marTop w:val="154"/>
          <w:marBottom w:val="0"/>
          <w:divBdr>
            <w:top w:val="none" w:sz="0" w:space="0" w:color="auto"/>
            <w:left w:val="none" w:sz="0" w:space="0" w:color="auto"/>
            <w:bottom w:val="none" w:sz="0" w:space="0" w:color="auto"/>
            <w:right w:val="none" w:sz="0" w:space="0" w:color="auto"/>
          </w:divBdr>
        </w:div>
      </w:divsChild>
    </w:div>
    <w:div w:id="337466014">
      <w:bodyDiv w:val="1"/>
      <w:marLeft w:val="0"/>
      <w:marRight w:val="0"/>
      <w:marTop w:val="0"/>
      <w:marBottom w:val="0"/>
      <w:divBdr>
        <w:top w:val="none" w:sz="0" w:space="0" w:color="auto"/>
        <w:left w:val="none" w:sz="0" w:space="0" w:color="auto"/>
        <w:bottom w:val="none" w:sz="0" w:space="0" w:color="auto"/>
        <w:right w:val="none" w:sz="0" w:space="0" w:color="auto"/>
      </w:divBdr>
      <w:divsChild>
        <w:div w:id="1468276802">
          <w:marLeft w:val="547"/>
          <w:marRight w:val="0"/>
          <w:marTop w:val="144"/>
          <w:marBottom w:val="0"/>
          <w:divBdr>
            <w:top w:val="none" w:sz="0" w:space="0" w:color="auto"/>
            <w:left w:val="none" w:sz="0" w:space="0" w:color="auto"/>
            <w:bottom w:val="none" w:sz="0" w:space="0" w:color="auto"/>
            <w:right w:val="none" w:sz="0" w:space="0" w:color="auto"/>
          </w:divBdr>
        </w:div>
        <w:div w:id="650717709">
          <w:marLeft w:val="547"/>
          <w:marRight w:val="0"/>
          <w:marTop w:val="144"/>
          <w:marBottom w:val="0"/>
          <w:divBdr>
            <w:top w:val="none" w:sz="0" w:space="0" w:color="auto"/>
            <w:left w:val="none" w:sz="0" w:space="0" w:color="auto"/>
            <w:bottom w:val="none" w:sz="0" w:space="0" w:color="auto"/>
            <w:right w:val="none" w:sz="0" w:space="0" w:color="auto"/>
          </w:divBdr>
        </w:div>
        <w:div w:id="1503934418">
          <w:marLeft w:val="547"/>
          <w:marRight w:val="0"/>
          <w:marTop w:val="144"/>
          <w:marBottom w:val="0"/>
          <w:divBdr>
            <w:top w:val="none" w:sz="0" w:space="0" w:color="auto"/>
            <w:left w:val="none" w:sz="0" w:space="0" w:color="auto"/>
            <w:bottom w:val="none" w:sz="0" w:space="0" w:color="auto"/>
            <w:right w:val="none" w:sz="0" w:space="0" w:color="auto"/>
          </w:divBdr>
        </w:div>
      </w:divsChild>
    </w:div>
    <w:div w:id="367725179">
      <w:bodyDiv w:val="1"/>
      <w:marLeft w:val="0"/>
      <w:marRight w:val="0"/>
      <w:marTop w:val="0"/>
      <w:marBottom w:val="0"/>
      <w:divBdr>
        <w:top w:val="none" w:sz="0" w:space="0" w:color="auto"/>
        <w:left w:val="none" w:sz="0" w:space="0" w:color="auto"/>
        <w:bottom w:val="none" w:sz="0" w:space="0" w:color="auto"/>
        <w:right w:val="none" w:sz="0" w:space="0" w:color="auto"/>
      </w:divBdr>
      <w:divsChild>
        <w:div w:id="1264848440">
          <w:marLeft w:val="547"/>
          <w:marRight w:val="0"/>
          <w:marTop w:val="154"/>
          <w:marBottom w:val="0"/>
          <w:divBdr>
            <w:top w:val="none" w:sz="0" w:space="0" w:color="auto"/>
            <w:left w:val="none" w:sz="0" w:space="0" w:color="auto"/>
            <w:bottom w:val="none" w:sz="0" w:space="0" w:color="auto"/>
            <w:right w:val="none" w:sz="0" w:space="0" w:color="auto"/>
          </w:divBdr>
        </w:div>
        <w:div w:id="1968049595">
          <w:marLeft w:val="547"/>
          <w:marRight w:val="0"/>
          <w:marTop w:val="154"/>
          <w:marBottom w:val="0"/>
          <w:divBdr>
            <w:top w:val="none" w:sz="0" w:space="0" w:color="auto"/>
            <w:left w:val="none" w:sz="0" w:space="0" w:color="auto"/>
            <w:bottom w:val="none" w:sz="0" w:space="0" w:color="auto"/>
            <w:right w:val="none" w:sz="0" w:space="0" w:color="auto"/>
          </w:divBdr>
        </w:div>
        <w:div w:id="1573662564">
          <w:marLeft w:val="547"/>
          <w:marRight w:val="0"/>
          <w:marTop w:val="154"/>
          <w:marBottom w:val="0"/>
          <w:divBdr>
            <w:top w:val="none" w:sz="0" w:space="0" w:color="auto"/>
            <w:left w:val="none" w:sz="0" w:space="0" w:color="auto"/>
            <w:bottom w:val="none" w:sz="0" w:space="0" w:color="auto"/>
            <w:right w:val="none" w:sz="0" w:space="0" w:color="auto"/>
          </w:divBdr>
        </w:div>
      </w:divsChild>
    </w:div>
    <w:div w:id="389112747">
      <w:bodyDiv w:val="1"/>
      <w:marLeft w:val="0"/>
      <w:marRight w:val="0"/>
      <w:marTop w:val="0"/>
      <w:marBottom w:val="0"/>
      <w:divBdr>
        <w:top w:val="none" w:sz="0" w:space="0" w:color="auto"/>
        <w:left w:val="none" w:sz="0" w:space="0" w:color="auto"/>
        <w:bottom w:val="none" w:sz="0" w:space="0" w:color="auto"/>
        <w:right w:val="none" w:sz="0" w:space="0" w:color="auto"/>
      </w:divBdr>
    </w:div>
    <w:div w:id="452408397">
      <w:bodyDiv w:val="1"/>
      <w:marLeft w:val="0"/>
      <w:marRight w:val="0"/>
      <w:marTop w:val="0"/>
      <w:marBottom w:val="0"/>
      <w:divBdr>
        <w:top w:val="none" w:sz="0" w:space="0" w:color="auto"/>
        <w:left w:val="none" w:sz="0" w:space="0" w:color="auto"/>
        <w:bottom w:val="none" w:sz="0" w:space="0" w:color="auto"/>
        <w:right w:val="none" w:sz="0" w:space="0" w:color="auto"/>
      </w:divBdr>
    </w:div>
    <w:div w:id="560292907">
      <w:bodyDiv w:val="1"/>
      <w:marLeft w:val="0"/>
      <w:marRight w:val="0"/>
      <w:marTop w:val="0"/>
      <w:marBottom w:val="0"/>
      <w:divBdr>
        <w:top w:val="none" w:sz="0" w:space="0" w:color="auto"/>
        <w:left w:val="none" w:sz="0" w:space="0" w:color="auto"/>
        <w:bottom w:val="none" w:sz="0" w:space="0" w:color="auto"/>
        <w:right w:val="none" w:sz="0" w:space="0" w:color="auto"/>
      </w:divBdr>
    </w:div>
    <w:div w:id="846674967">
      <w:bodyDiv w:val="1"/>
      <w:marLeft w:val="0"/>
      <w:marRight w:val="0"/>
      <w:marTop w:val="0"/>
      <w:marBottom w:val="0"/>
      <w:divBdr>
        <w:top w:val="none" w:sz="0" w:space="0" w:color="auto"/>
        <w:left w:val="none" w:sz="0" w:space="0" w:color="auto"/>
        <w:bottom w:val="none" w:sz="0" w:space="0" w:color="auto"/>
        <w:right w:val="none" w:sz="0" w:space="0" w:color="auto"/>
      </w:divBdr>
      <w:divsChild>
        <w:div w:id="60712709">
          <w:marLeft w:val="547"/>
          <w:marRight w:val="0"/>
          <w:marTop w:val="134"/>
          <w:marBottom w:val="0"/>
          <w:divBdr>
            <w:top w:val="none" w:sz="0" w:space="0" w:color="auto"/>
            <w:left w:val="none" w:sz="0" w:space="0" w:color="auto"/>
            <w:bottom w:val="none" w:sz="0" w:space="0" w:color="auto"/>
            <w:right w:val="none" w:sz="0" w:space="0" w:color="auto"/>
          </w:divBdr>
        </w:div>
        <w:div w:id="1516724555">
          <w:marLeft w:val="547"/>
          <w:marRight w:val="0"/>
          <w:marTop w:val="134"/>
          <w:marBottom w:val="0"/>
          <w:divBdr>
            <w:top w:val="none" w:sz="0" w:space="0" w:color="auto"/>
            <w:left w:val="none" w:sz="0" w:space="0" w:color="auto"/>
            <w:bottom w:val="none" w:sz="0" w:space="0" w:color="auto"/>
            <w:right w:val="none" w:sz="0" w:space="0" w:color="auto"/>
          </w:divBdr>
        </w:div>
        <w:div w:id="533428010">
          <w:marLeft w:val="547"/>
          <w:marRight w:val="0"/>
          <w:marTop w:val="134"/>
          <w:marBottom w:val="0"/>
          <w:divBdr>
            <w:top w:val="none" w:sz="0" w:space="0" w:color="auto"/>
            <w:left w:val="none" w:sz="0" w:space="0" w:color="auto"/>
            <w:bottom w:val="none" w:sz="0" w:space="0" w:color="auto"/>
            <w:right w:val="none" w:sz="0" w:space="0" w:color="auto"/>
          </w:divBdr>
        </w:div>
      </w:divsChild>
    </w:div>
    <w:div w:id="922681549">
      <w:bodyDiv w:val="1"/>
      <w:marLeft w:val="0"/>
      <w:marRight w:val="0"/>
      <w:marTop w:val="0"/>
      <w:marBottom w:val="0"/>
      <w:divBdr>
        <w:top w:val="none" w:sz="0" w:space="0" w:color="auto"/>
        <w:left w:val="none" w:sz="0" w:space="0" w:color="auto"/>
        <w:bottom w:val="none" w:sz="0" w:space="0" w:color="auto"/>
        <w:right w:val="none" w:sz="0" w:space="0" w:color="auto"/>
      </w:divBdr>
      <w:divsChild>
        <w:div w:id="1695113519">
          <w:marLeft w:val="547"/>
          <w:marRight w:val="0"/>
          <w:marTop w:val="134"/>
          <w:marBottom w:val="0"/>
          <w:divBdr>
            <w:top w:val="none" w:sz="0" w:space="0" w:color="auto"/>
            <w:left w:val="none" w:sz="0" w:space="0" w:color="auto"/>
            <w:bottom w:val="none" w:sz="0" w:space="0" w:color="auto"/>
            <w:right w:val="none" w:sz="0" w:space="0" w:color="auto"/>
          </w:divBdr>
        </w:div>
        <w:div w:id="1834100018">
          <w:marLeft w:val="547"/>
          <w:marRight w:val="0"/>
          <w:marTop w:val="134"/>
          <w:marBottom w:val="0"/>
          <w:divBdr>
            <w:top w:val="none" w:sz="0" w:space="0" w:color="auto"/>
            <w:left w:val="none" w:sz="0" w:space="0" w:color="auto"/>
            <w:bottom w:val="none" w:sz="0" w:space="0" w:color="auto"/>
            <w:right w:val="none" w:sz="0" w:space="0" w:color="auto"/>
          </w:divBdr>
        </w:div>
        <w:div w:id="1913008186">
          <w:marLeft w:val="547"/>
          <w:marRight w:val="0"/>
          <w:marTop w:val="134"/>
          <w:marBottom w:val="0"/>
          <w:divBdr>
            <w:top w:val="none" w:sz="0" w:space="0" w:color="auto"/>
            <w:left w:val="none" w:sz="0" w:space="0" w:color="auto"/>
            <w:bottom w:val="none" w:sz="0" w:space="0" w:color="auto"/>
            <w:right w:val="none" w:sz="0" w:space="0" w:color="auto"/>
          </w:divBdr>
        </w:div>
        <w:div w:id="749736187">
          <w:marLeft w:val="547"/>
          <w:marRight w:val="0"/>
          <w:marTop w:val="134"/>
          <w:marBottom w:val="0"/>
          <w:divBdr>
            <w:top w:val="none" w:sz="0" w:space="0" w:color="auto"/>
            <w:left w:val="none" w:sz="0" w:space="0" w:color="auto"/>
            <w:bottom w:val="none" w:sz="0" w:space="0" w:color="auto"/>
            <w:right w:val="none" w:sz="0" w:space="0" w:color="auto"/>
          </w:divBdr>
        </w:div>
        <w:div w:id="1867938539">
          <w:marLeft w:val="547"/>
          <w:marRight w:val="0"/>
          <w:marTop w:val="134"/>
          <w:marBottom w:val="0"/>
          <w:divBdr>
            <w:top w:val="none" w:sz="0" w:space="0" w:color="auto"/>
            <w:left w:val="none" w:sz="0" w:space="0" w:color="auto"/>
            <w:bottom w:val="none" w:sz="0" w:space="0" w:color="auto"/>
            <w:right w:val="none" w:sz="0" w:space="0" w:color="auto"/>
          </w:divBdr>
        </w:div>
      </w:divsChild>
    </w:div>
    <w:div w:id="923220450">
      <w:bodyDiv w:val="1"/>
      <w:marLeft w:val="0"/>
      <w:marRight w:val="0"/>
      <w:marTop w:val="0"/>
      <w:marBottom w:val="0"/>
      <w:divBdr>
        <w:top w:val="none" w:sz="0" w:space="0" w:color="auto"/>
        <w:left w:val="none" w:sz="0" w:space="0" w:color="auto"/>
        <w:bottom w:val="none" w:sz="0" w:space="0" w:color="auto"/>
        <w:right w:val="none" w:sz="0" w:space="0" w:color="auto"/>
      </w:divBdr>
    </w:div>
    <w:div w:id="986936016">
      <w:bodyDiv w:val="1"/>
      <w:marLeft w:val="0"/>
      <w:marRight w:val="0"/>
      <w:marTop w:val="0"/>
      <w:marBottom w:val="0"/>
      <w:divBdr>
        <w:top w:val="none" w:sz="0" w:space="0" w:color="auto"/>
        <w:left w:val="none" w:sz="0" w:space="0" w:color="auto"/>
        <w:bottom w:val="none" w:sz="0" w:space="0" w:color="auto"/>
        <w:right w:val="none" w:sz="0" w:space="0" w:color="auto"/>
      </w:divBdr>
      <w:divsChild>
        <w:div w:id="421804676">
          <w:marLeft w:val="547"/>
          <w:marRight w:val="0"/>
          <w:marTop w:val="154"/>
          <w:marBottom w:val="0"/>
          <w:divBdr>
            <w:top w:val="none" w:sz="0" w:space="0" w:color="auto"/>
            <w:left w:val="none" w:sz="0" w:space="0" w:color="auto"/>
            <w:bottom w:val="none" w:sz="0" w:space="0" w:color="auto"/>
            <w:right w:val="none" w:sz="0" w:space="0" w:color="auto"/>
          </w:divBdr>
        </w:div>
        <w:div w:id="1651447930">
          <w:marLeft w:val="547"/>
          <w:marRight w:val="0"/>
          <w:marTop w:val="154"/>
          <w:marBottom w:val="0"/>
          <w:divBdr>
            <w:top w:val="none" w:sz="0" w:space="0" w:color="auto"/>
            <w:left w:val="none" w:sz="0" w:space="0" w:color="auto"/>
            <w:bottom w:val="none" w:sz="0" w:space="0" w:color="auto"/>
            <w:right w:val="none" w:sz="0" w:space="0" w:color="auto"/>
          </w:divBdr>
        </w:div>
        <w:div w:id="99227039">
          <w:marLeft w:val="547"/>
          <w:marRight w:val="0"/>
          <w:marTop w:val="154"/>
          <w:marBottom w:val="0"/>
          <w:divBdr>
            <w:top w:val="none" w:sz="0" w:space="0" w:color="auto"/>
            <w:left w:val="none" w:sz="0" w:space="0" w:color="auto"/>
            <w:bottom w:val="none" w:sz="0" w:space="0" w:color="auto"/>
            <w:right w:val="none" w:sz="0" w:space="0" w:color="auto"/>
          </w:divBdr>
        </w:div>
        <w:div w:id="2107073332">
          <w:marLeft w:val="547"/>
          <w:marRight w:val="0"/>
          <w:marTop w:val="154"/>
          <w:marBottom w:val="0"/>
          <w:divBdr>
            <w:top w:val="none" w:sz="0" w:space="0" w:color="auto"/>
            <w:left w:val="none" w:sz="0" w:space="0" w:color="auto"/>
            <w:bottom w:val="none" w:sz="0" w:space="0" w:color="auto"/>
            <w:right w:val="none" w:sz="0" w:space="0" w:color="auto"/>
          </w:divBdr>
        </w:div>
        <w:div w:id="1850874480">
          <w:marLeft w:val="547"/>
          <w:marRight w:val="0"/>
          <w:marTop w:val="154"/>
          <w:marBottom w:val="0"/>
          <w:divBdr>
            <w:top w:val="none" w:sz="0" w:space="0" w:color="auto"/>
            <w:left w:val="none" w:sz="0" w:space="0" w:color="auto"/>
            <w:bottom w:val="none" w:sz="0" w:space="0" w:color="auto"/>
            <w:right w:val="none" w:sz="0" w:space="0" w:color="auto"/>
          </w:divBdr>
        </w:div>
      </w:divsChild>
    </w:div>
    <w:div w:id="1095444886">
      <w:bodyDiv w:val="1"/>
      <w:marLeft w:val="0"/>
      <w:marRight w:val="0"/>
      <w:marTop w:val="0"/>
      <w:marBottom w:val="0"/>
      <w:divBdr>
        <w:top w:val="none" w:sz="0" w:space="0" w:color="auto"/>
        <w:left w:val="none" w:sz="0" w:space="0" w:color="auto"/>
        <w:bottom w:val="none" w:sz="0" w:space="0" w:color="auto"/>
        <w:right w:val="none" w:sz="0" w:space="0" w:color="auto"/>
      </w:divBdr>
    </w:div>
    <w:div w:id="1170868404">
      <w:bodyDiv w:val="1"/>
      <w:marLeft w:val="0"/>
      <w:marRight w:val="0"/>
      <w:marTop w:val="0"/>
      <w:marBottom w:val="0"/>
      <w:divBdr>
        <w:top w:val="none" w:sz="0" w:space="0" w:color="auto"/>
        <w:left w:val="none" w:sz="0" w:space="0" w:color="auto"/>
        <w:bottom w:val="none" w:sz="0" w:space="0" w:color="auto"/>
        <w:right w:val="none" w:sz="0" w:space="0" w:color="auto"/>
      </w:divBdr>
      <w:divsChild>
        <w:div w:id="875460899">
          <w:marLeft w:val="547"/>
          <w:marRight w:val="0"/>
          <w:marTop w:val="154"/>
          <w:marBottom w:val="0"/>
          <w:divBdr>
            <w:top w:val="none" w:sz="0" w:space="0" w:color="auto"/>
            <w:left w:val="none" w:sz="0" w:space="0" w:color="auto"/>
            <w:bottom w:val="none" w:sz="0" w:space="0" w:color="auto"/>
            <w:right w:val="none" w:sz="0" w:space="0" w:color="auto"/>
          </w:divBdr>
        </w:div>
        <w:div w:id="1483890277">
          <w:marLeft w:val="547"/>
          <w:marRight w:val="0"/>
          <w:marTop w:val="154"/>
          <w:marBottom w:val="0"/>
          <w:divBdr>
            <w:top w:val="none" w:sz="0" w:space="0" w:color="auto"/>
            <w:left w:val="none" w:sz="0" w:space="0" w:color="auto"/>
            <w:bottom w:val="none" w:sz="0" w:space="0" w:color="auto"/>
            <w:right w:val="none" w:sz="0" w:space="0" w:color="auto"/>
          </w:divBdr>
        </w:div>
        <w:div w:id="1782996160">
          <w:marLeft w:val="547"/>
          <w:marRight w:val="0"/>
          <w:marTop w:val="154"/>
          <w:marBottom w:val="0"/>
          <w:divBdr>
            <w:top w:val="none" w:sz="0" w:space="0" w:color="auto"/>
            <w:left w:val="none" w:sz="0" w:space="0" w:color="auto"/>
            <w:bottom w:val="none" w:sz="0" w:space="0" w:color="auto"/>
            <w:right w:val="none" w:sz="0" w:space="0" w:color="auto"/>
          </w:divBdr>
        </w:div>
        <w:div w:id="1219055990">
          <w:marLeft w:val="547"/>
          <w:marRight w:val="0"/>
          <w:marTop w:val="154"/>
          <w:marBottom w:val="0"/>
          <w:divBdr>
            <w:top w:val="none" w:sz="0" w:space="0" w:color="auto"/>
            <w:left w:val="none" w:sz="0" w:space="0" w:color="auto"/>
            <w:bottom w:val="none" w:sz="0" w:space="0" w:color="auto"/>
            <w:right w:val="none" w:sz="0" w:space="0" w:color="auto"/>
          </w:divBdr>
        </w:div>
      </w:divsChild>
    </w:div>
    <w:div w:id="1202017840">
      <w:bodyDiv w:val="1"/>
      <w:marLeft w:val="0"/>
      <w:marRight w:val="0"/>
      <w:marTop w:val="0"/>
      <w:marBottom w:val="0"/>
      <w:divBdr>
        <w:top w:val="none" w:sz="0" w:space="0" w:color="auto"/>
        <w:left w:val="none" w:sz="0" w:space="0" w:color="auto"/>
        <w:bottom w:val="none" w:sz="0" w:space="0" w:color="auto"/>
        <w:right w:val="none" w:sz="0" w:space="0" w:color="auto"/>
      </w:divBdr>
      <w:divsChild>
        <w:div w:id="1633514339">
          <w:marLeft w:val="547"/>
          <w:marRight w:val="0"/>
          <w:marTop w:val="154"/>
          <w:marBottom w:val="0"/>
          <w:divBdr>
            <w:top w:val="none" w:sz="0" w:space="0" w:color="auto"/>
            <w:left w:val="none" w:sz="0" w:space="0" w:color="auto"/>
            <w:bottom w:val="none" w:sz="0" w:space="0" w:color="auto"/>
            <w:right w:val="none" w:sz="0" w:space="0" w:color="auto"/>
          </w:divBdr>
        </w:div>
      </w:divsChild>
    </w:div>
    <w:div w:id="1347561710">
      <w:bodyDiv w:val="1"/>
      <w:marLeft w:val="0"/>
      <w:marRight w:val="0"/>
      <w:marTop w:val="0"/>
      <w:marBottom w:val="0"/>
      <w:divBdr>
        <w:top w:val="none" w:sz="0" w:space="0" w:color="auto"/>
        <w:left w:val="none" w:sz="0" w:space="0" w:color="auto"/>
        <w:bottom w:val="none" w:sz="0" w:space="0" w:color="auto"/>
        <w:right w:val="none" w:sz="0" w:space="0" w:color="auto"/>
      </w:divBdr>
    </w:div>
    <w:div w:id="1434396789">
      <w:bodyDiv w:val="1"/>
      <w:marLeft w:val="0"/>
      <w:marRight w:val="0"/>
      <w:marTop w:val="0"/>
      <w:marBottom w:val="0"/>
      <w:divBdr>
        <w:top w:val="none" w:sz="0" w:space="0" w:color="auto"/>
        <w:left w:val="none" w:sz="0" w:space="0" w:color="auto"/>
        <w:bottom w:val="none" w:sz="0" w:space="0" w:color="auto"/>
        <w:right w:val="none" w:sz="0" w:space="0" w:color="auto"/>
      </w:divBdr>
      <w:divsChild>
        <w:div w:id="906919186">
          <w:marLeft w:val="547"/>
          <w:marRight w:val="0"/>
          <w:marTop w:val="192"/>
          <w:marBottom w:val="0"/>
          <w:divBdr>
            <w:top w:val="none" w:sz="0" w:space="0" w:color="auto"/>
            <w:left w:val="none" w:sz="0" w:space="0" w:color="auto"/>
            <w:bottom w:val="none" w:sz="0" w:space="0" w:color="auto"/>
            <w:right w:val="none" w:sz="0" w:space="0" w:color="auto"/>
          </w:divBdr>
        </w:div>
        <w:div w:id="1281303116">
          <w:marLeft w:val="547"/>
          <w:marRight w:val="0"/>
          <w:marTop w:val="192"/>
          <w:marBottom w:val="0"/>
          <w:divBdr>
            <w:top w:val="none" w:sz="0" w:space="0" w:color="auto"/>
            <w:left w:val="none" w:sz="0" w:space="0" w:color="auto"/>
            <w:bottom w:val="none" w:sz="0" w:space="0" w:color="auto"/>
            <w:right w:val="none" w:sz="0" w:space="0" w:color="auto"/>
          </w:divBdr>
        </w:div>
        <w:div w:id="1478378736">
          <w:marLeft w:val="547"/>
          <w:marRight w:val="0"/>
          <w:marTop w:val="192"/>
          <w:marBottom w:val="0"/>
          <w:divBdr>
            <w:top w:val="none" w:sz="0" w:space="0" w:color="auto"/>
            <w:left w:val="none" w:sz="0" w:space="0" w:color="auto"/>
            <w:bottom w:val="none" w:sz="0" w:space="0" w:color="auto"/>
            <w:right w:val="none" w:sz="0" w:space="0" w:color="auto"/>
          </w:divBdr>
        </w:div>
        <w:div w:id="1408260368">
          <w:marLeft w:val="547"/>
          <w:marRight w:val="0"/>
          <w:marTop w:val="192"/>
          <w:marBottom w:val="0"/>
          <w:divBdr>
            <w:top w:val="none" w:sz="0" w:space="0" w:color="auto"/>
            <w:left w:val="none" w:sz="0" w:space="0" w:color="auto"/>
            <w:bottom w:val="none" w:sz="0" w:space="0" w:color="auto"/>
            <w:right w:val="none" w:sz="0" w:space="0" w:color="auto"/>
          </w:divBdr>
        </w:div>
      </w:divsChild>
    </w:div>
    <w:div w:id="1525165930">
      <w:bodyDiv w:val="1"/>
      <w:marLeft w:val="0"/>
      <w:marRight w:val="0"/>
      <w:marTop w:val="0"/>
      <w:marBottom w:val="0"/>
      <w:divBdr>
        <w:top w:val="none" w:sz="0" w:space="0" w:color="auto"/>
        <w:left w:val="none" w:sz="0" w:space="0" w:color="auto"/>
        <w:bottom w:val="none" w:sz="0" w:space="0" w:color="auto"/>
        <w:right w:val="none" w:sz="0" w:space="0" w:color="auto"/>
      </w:divBdr>
      <w:divsChild>
        <w:div w:id="288316273">
          <w:marLeft w:val="547"/>
          <w:marRight w:val="0"/>
          <w:marTop w:val="154"/>
          <w:marBottom w:val="0"/>
          <w:divBdr>
            <w:top w:val="none" w:sz="0" w:space="0" w:color="auto"/>
            <w:left w:val="none" w:sz="0" w:space="0" w:color="auto"/>
            <w:bottom w:val="none" w:sz="0" w:space="0" w:color="auto"/>
            <w:right w:val="none" w:sz="0" w:space="0" w:color="auto"/>
          </w:divBdr>
        </w:div>
        <w:div w:id="493884418">
          <w:marLeft w:val="547"/>
          <w:marRight w:val="0"/>
          <w:marTop w:val="154"/>
          <w:marBottom w:val="0"/>
          <w:divBdr>
            <w:top w:val="none" w:sz="0" w:space="0" w:color="auto"/>
            <w:left w:val="none" w:sz="0" w:space="0" w:color="auto"/>
            <w:bottom w:val="none" w:sz="0" w:space="0" w:color="auto"/>
            <w:right w:val="none" w:sz="0" w:space="0" w:color="auto"/>
          </w:divBdr>
        </w:div>
        <w:div w:id="648436016">
          <w:marLeft w:val="547"/>
          <w:marRight w:val="0"/>
          <w:marTop w:val="154"/>
          <w:marBottom w:val="0"/>
          <w:divBdr>
            <w:top w:val="none" w:sz="0" w:space="0" w:color="auto"/>
            <w:left w:val="none" w:sz="0" w:space="0" w:color="auto"/>
            <w:bottom w:val="none" w:sz="0" w:space="0" w:color="auto"/>
            <w:right w:val="none" w:sz="0" w:space="0" w:color="auto"/>
          </w:divBdr>
        </w:div>
        <w:div w:id="405760638">
          <w:marLeft w:val="547"/>
          <w:marRight w:val="0"/>
          <w:marTop w:val="154"/>
          <w:marBottom w:val="0"/>
          <w:divBdr>
            <w:top w:val="none" w:sz="0" w:space="0" w:color="auto"/>
            <w:left w:val="none" w:sz="0" w:space="0" w:color="auto"/>
            <w:bottom w:val="none" w:sz="0" w:space="0" w:color="auto"/>
            <w:right w:val="none" w:sz="0" w:space="0" w:color="auto"/>
          </w:divBdr>
        </w:div>
        <w:div w:id="464390474">
          <w:marLeft w:val="547"/>
          <w:marRight w:val="0"/>
          <w:marTop w:val="154"/>
          <w:marBottom w:val="0"/>
          <w:divBdr>
            <w:top w:val="none" w:sz="0" w:space="0" w:color="auto"/>
            <w:left w:val="none" w:sz="0" w:space="0" w:color="auto"/>
            <w:bottom w:val="none" w:sz="0" w:space="0" w:color="auto"/>
            <w:right w:val="none" w:sz="0" w:space="0" w:color="auto"/>
          </w:divBdr>
        </w:div>
      </w:divsChild>
    </w:div>
    <w:div w:id="1609851839">
      <w:bodyDiv w:val="1"/>
      <w:marLeft w:val="0"/>
      <w:marRight w:val="0"/>
      <w:marTop w:val="0"/>
      <w:marBottom w:val="0"/>
      <w:divBdr>
        <w:top w:val="none" w:sz="0" w:space="0" w:color="auto"/>
        <w:left w:val="none" w:sz="0" w:space="0" w:color="auto"/>
        <w:bottom w:val="none" w:sz="0" w:space="0" w:color="auto"/>
        <w:right w:val="none" w:sz="0" w:space="0" w:color="auto"/>
      </w:divBdr>
    </w:div>
    <w:div w:id="1656687308">
      <w:bodyDiv w:val="1"/>
      <w:marLeft w:val="0"/>
      <w:marRight w:val="0"/>
      <w:marTop w:val="0"/>
      <w:marBottom w:val="0"/>
      <w:divBdr>
        <w:top w:val="none" w:sz="0" w:space="0" w:color="auto"/>
        <w:left w:val="none" w:sz="0" w:space="0" w:color="auto"/>
        <w:bottom w:val="none" w:sz="0" w:space="0" w:color="auto"/>
        <w:right w:val="none" w:sz="0" w:space="0" w:color="auto"/>
      </w:divBdr>
      <w:divsChild>
        <w:div w:id="1070078699">
          <w:marLeft w:val="547"/>
          <w:marRight w:val="0"/>
          <w:marTop w:val="154"/>
          <w:marBottom w:val="0"/>
          <w:divBdr>
            <w:top w:val="none" w:sz="0" w:space="0" w:color="auto"/>
            <w:left w:val="none" w:sz="0" w:space="0" w:color="auto"/>
            <w:bottom w:val="none" w:sz="0" w:space="0" w:color="auto"/>
            <w:right w:val="none" w:sz="0" w:space="0" w:color="auto"/>
          </w:divBdr>
        </w:div>
        <w:div w:id="1262299039">
          <w:marLeft w:val="547"/>
          <w:marRight w:val="0"/>
          <w:marTop w:val="154"/>
          <w:marBottom w:val="0"/>
          <w:divBdr>
            <w:top w:val="none" w:sz="0" w:space="0" w:color="auto"/>
            <w:left w:val="none" w:sz="0" w:space="0" w:color="auto"/>
            <w:bottom w:val="none" w:sz="0" w:space="0" w:color="auto"/>
            <w:right w:val="none" w:sz="0" w:space="0" w:color="auto"/>
          </w:divBdr>
        </w:div>
        <w:div w:id="602298441">
          <w:marLeft w:val="547"/>
          <w:marRight w:val="0"/>
          <w:marTop w:val="154"/>
          <w:marBottom w:val="0"/>
          <w:divBdr>
            <w:top w:val="none" w:sz="0" w:space="0" w:color="auto"/>
            <w:left w:val="none" w:sz="0" w:space="0" w:color="auto"/>
            <w:bottom w:val="none" w:sz="0" w:space="0" w:color="auto"/>
            <w:right w:val="none" w:sz="0" w:space="0" w:color="auto"/>
          </w:divBdr>
        </w:div>
        <w:div w:id="418675483">
          <w:marLeft w:val="547"/>
          <w:marRight w:val="0"/>
          <w:marTop w:val="154"/>
          <w:marBottom w:val="0"/>
          <w:divBdr>
            <w:top w:val="none" w:sz="0" w:space="0" w:color="auto"/>
            <w:left w:val="none" w:sz="0" w:space="0" w:color="auto"/>
            <w:bottom w:val="none" w:sz="0" w:space="0" w:color="auto"/>
            <w:right w:val="none" w:sz="0" w:space="0" w:color="auto"/>
          </w:divBdr>
        </w:div>
      </w:divsChild>
    </w:div>
    <w:div w:id="1754202755">
      <w:bodyDiv w:val="1"/>
      <w:marLeft w:val="0"/>
      <w:marRight w:val="0"/>
      <w:marTop w:val="0"/>
      <w:marBottom w:val="0"/>
      <w:divBdr>
        <w:top w:val="none" w:sz="0" w:space="0" w:color="auto"/>
        <w:left w:val="none" w:sz="0" w:space="0" w:color="auto"/>
        <w:bottom w:val="none" w:sz="0" w:space="0" w:color="auto"/>
        <w:right w:val="none" w:sz="0" w:space="0" w:color="auto"/>
      </w:divBdr>
      <w:divsChild>
        <w:div w:id="382602968">
          <w:marLeft w:val="547"/>
          <w:marRight w:val="0"/>
          <w:marTop w:val="154"/>
          <w:marBottom w:val="0"/>
          <w:divBdr>
            <w:top w:val="none" w:sz="0" w:space="0" w:color="auto"/>
            <w:left w:val="none" w:sz="0" w:space="0" w:color="auto"/>
            <w:bottom w:val="none" w:sz="0" w:space="0" w:color="auto"/>
            <w:right w:val="none" w:sz="0" w:space="0" w:color="auto"/>
          </w:divBdr>
        </w:div>
        <w:div w:id="1930501368">
          <w:marLeft w:val="547"/>
          <w:marRight w:val="0"/>
          <w:marTop w:val="154"/>
          <w:marBottom w:val="0"/>
          <w:divBdr>
            <w:top w:val="none" w:sz="0" w:space="0" w:color="auto"/>
            <w:left w:val="none" w:sz="0" w:space="0" w:color="auto"/>
            <w:bottom w:val="none" w:sz="0" w:space="0" w:color="auto"/>
            <w:right w:val="none" w:sz="0" w:space="0" w:color="auto"/>
          </w:divBdr>
        </w:div>
        <w:div w:id="1437945629">
          <w:marLeft w:val="547"/>
          <w:marRight w:val="0"/>
          <w:marTop w:val="154"/>
          <w:marBottom w:val="0"/>
          <w:divBdr>
            <w:top w:val="none" w:sz="0" w:space="0" w:color="auto"/>
            <w:left w:val="none" w:sz="0" w:space="0" w:color="auto"/>
            <w:bottom w:val="none" w:sz="0" w:space="0" w:color="auto"/>
            <w:right w:val="none" w:sz="0" w:space="0" w:color="auto"/>
          </w:divBdr>
        </w:div>
        <w:div w:id="612323196">
          <w:marLeft w:val="547"/>
          <w:marRight w:val="0"/>
          <w:marTop w:val="154"/>
          <w:marBottom w:val="0"/>
          <w:divBdr>
            <w:top w:val="none" w:sz="0" w:space="0" w:color="auto"/>
            <w:left w:val="none" w:sz="0" w:space="0" w:color="auto"/>
            <w:bottom w:val="none" w:sz="0" w:space="0" w:color="auto"/>
            <w:right w:val="none" w:sz="0" w:space="0" w:color="auto"/>
          </w:divBdr>
        </w:div>
        <w:div w:id="1615676720">
          <w:marLeft w:val="547"/>
          <w:marRight w:val="0"/>
          <w:marTop w:val="154"/>
          <w:marBottom w:val="0"/>
          <w:divBdr>
            <w:top w:val="none" w:sz="0" w:space="0" w:color="auto"/>
            <w:left w:val="none" w:sz="0" w:space="0" w:color="auto"/>
            <w:bottom w:val="none" w:sz="0" w:space="0" w:color="auto"/>
            <w:right w:val="none" w:sz="0" w:space="0" w:color="auto"/>
          </w:divBdr>
        </w:div>
      </w:divsChild>
    </w:div>
    <w:div w:id="1768161418">
      <w:bodyDiv w:val="1"/>
      <w:marLeft w:val="0"/>
      <w:marRight w:val="0"/>
      <w:marTop w:val="0"/>
      <w:marBottom w:val="0"/>
      <w:divBdr>
        <w:top w:val="none" w:sz="0" w:space="0" w:color="auto"/>
        <w:left w:val="none" w:sz="0" w:space="0" w:color="auto"/>
        <w:bottom w:val="none" w:sz="0" w:space="0" w:color="auto"/>
        <w:right w:val="none" w:sz="0" w:space="0" w:color="auto"/>
      </w:divBdr>
      <w:divsChild>
        <w:div w:id="1763257027">
          <w:marLeft w:val="547"/>
          <w:marRight w:val="0"/>
          <w:marTop w:val="154"/>
          <w:marBottom w:val="0"/>
          <w:divBdr>
            <w:top w:val="none" w:sz="0" w:space="0" w:color="auto"/>
            <w:left w:val="none" w:sz="0" w:space="0" w:color="auto"/>
            <w:bottom w:val="none" w:sz="0" w:space="0" w:color="auto"/>
            <w:right w:val="none" w:sz="0" w:space="0" w:color="auto"/>
          </w:divBdr>
        </w:div>
        <w:div w:id="140345212">
          <w:marLeft w:val="547"/>
          <w:marRight w:val="0"/>
          <w:marTop w:val="154"/>
          <w:marBottom w:val="0"/>
          <w:divBdr>
            <w:top w:val="none" w:sz="0" w:space="0" w:color="auto"/>
            <w:left w:val="none" w:sz="0" w:space="0" w:color="auto"/>
            <w:bottom w:val="none" w:sz="0" w:space="0" w:color="auto"/>
            <w:right w:val="none" w:sz="0" w:space="0" w:color="auto"/>
          </w:divBdr>
        </w:div>
        <w:div w:id="1741947149">
          <w:marLeft w:val="1166"/>
          <w:marRight w:val="0"/>
          <w:marTop w:val="134"/>
          <w:marBottom w:val="0"/>
          <w:divBdr>
            <w:top w:val="none" w:sz="0" w:space="0" w:color="auto"/>
            <w:left w:val="none" w:sz="0" w:space="0" w:color="auto"/>
            <w:bottom w:val="none" w:sz="0" w:space="0" w:color="auto"/>
            <w:right w:val="none" w:sz="0" w:space="0" w:color="auto"/>
          </w:divBdr>
        </w:div>
        <w:div w:id="1438987157">
          <w:marLeft w:val="1166"/>
          <w:marRight w:val="0"/>
          <w:marTop w:val="134"/>
          <w:marBottom w:val="0"/>
          <w:divBdr>
            <w:top w:val="none" w:sz="0" w:space="0" w:color="auto"/>
            <w:left w:val="none" w:sz="0" w:space="0" w:color="auto"/>
            <w:bottom w:val="none" w:sz="0" w:space="0" w:color="auto"/>
            <w:right w:val="none" w:sz="0" w:space="0" w:color="auto"/>
          </w:divBdr>
        </w:div>
      </w:divsChild>
    </w:div>
    <w:div w:id="1949963581">
      <w:bodyDiv w:val="1"/>
      <w:marLeft w:val="0"/>
      <w:marRight w:val="0"/>
      <w:marTop w:val="0"/>
      <w:marBottom w:val="0"/>
      <w:divBdr>
        <w:top w:val="none" w:sz="0" w:space="0" w:color="auto"/>
        <w:left w:val="none" w:sz="0" w:space="0" w:color="auto"/>
        <w:bottom w:val="none" w:sz="0" w:space="0" w:color="auto"/>
        <w:right w:val="none" w:sz="0" w:space="0" w:color="auto"/>
      </w:divBdr>
    </w:div>
    <w:div w:id="2047220626">
      <w:bodyDiv w:val="1"/>
      <w:marLeft w:val="0"/>
      <w:marRight w:val="0"/>
      <w:marTop w:val="0"/>
      <w:marBottom w:val="0"/>
      <w:divBdr>
        <w:top w:val="none" w:sz="0" w:space="0" w:color="auto"/>
        <w:left w:val="none" w:sz="0" w:space="0" w:color="auto"/>
        <w:bottom w:val="none" w:sz="0" w:space="0" w:color="auto"/>
        <w:right w:val="none" w:sz="0" w:space="0" w:color="auto"/>
      </w:divBdr>
      <w:divsChild>
        <w:div w:id="177890930">
          <w:marLeft w:val="547"/>
          <w:marRight w:val="0"/>
          <w:marTop w:val="154"/>
          <w:marBottom w:val="0"/>
          <w:divBdr>
            <w:top w:val="none" w:sz="0" w:space="0" w:color="auto"/>
            <w:left w:val="none" w:sz="0" w:space="0" w:color="auto"/>
            <w:bottom w:val="none" w:sz="0" w:space="0" w:color="auto"/>
            <w:right w:val="none" w:sz="0" w:space="0" w:color="auto"/>
          </w:divBdr>
        </w:div>
        <w:div w:id="1492941866">
          <w:marLeft w:val="547"/>
          <w:marRight w:val="0"/>
          <w:marTop w:val="154"/>
          <w:marBottom w:val="0"/>
          <w:divBdr>
            <w:top w:val="none" w:sz="0" w:space="0" w:color="auto"/>
            <w:left w:val="none" w:sz="0" w:space="0" w:color="auto"/>
            <w:bottom w:val="none" w:sz="0" w:space="0" w:color="auto"/>
            <w:right w:val="none" w:sz="0" w:space="0" w:color="auto"/>
          </w:divBdr>
        </w:div>
        <w:div w:id="262953495">
          <w:marLeft w:val="547"/>
          <w:marRight w:val="0"/>
          <w:marTop w:val="154"/>
          <w:marBottom w:val="0"/>
          <w:divBdr>
            <w:top w:val="none" w:sz="0" w:space="0" w:color="auto"/>
            <w:left w:val="none" w:sz="0" w:space="0" w:color="auto"/>
            <w:bottom w:val="none" w:sz="0" w:space="0" w:color="auto"/>
            <w:right w:val="none" w:sz="0" w:space="0" w:color="auto"/>
          </w:divBdr>
        </w:div>
        <w:div w:id="1341198873">
          <w:marLeft w:val="547"/>
          <w:marRight w:val="0"/>
          <w:marTop w:val="154"/>
          <w:marBottom w:val="0"/>
          <w:divBdr>
            <w:top w:val="none" w:sz="0" w:space="0" w:color="auto"/>
            <w:left w:val="none" w:sz="0" w:space="0" w:color="auto"/>
            <w:bottom w:val="none" w:sz="0" w:space="0" w:color="auto"/>
            <w:right w:val="none" w:sz="0" w:space="0" w:color="auto"/>
          </w:divBdr>
        </w:div>
        <w:div w:id="15947809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Publications/2017/01/2526/337120"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qualityhumanrights.com/en/publication-download/research-report-33-place-equal-opportunities-devolution-settlement-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9E73-9DD4-497B-AE41-D45A5C55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Fletcher</dc:creator>
  <cp:lastModifiedBy>Muriel Robison</cp:lastModifiedBy>
  <cp:revision>5</cp:revision>
  <cp:lastPrinted>2016-07-06T15:08:00Z</cp:lastPrinted>
  <dcterms:created xsi:type="dcterms:W3CDTF">2017-02-18T14:12:00Z</dcterms:created>
  <dcterms:modified xsi:type="dcterms:W3CDTF">2017-02-21T18:57:00Z</dcterms:modified>
</cp:coreProperties>
</file>